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6F59F7">
      <w:pPr>
        <w:autoSpaceDE w:val="0"/>
        <w:autoSpaceDN w:val="0"/>
        <w:adjustRightInd w:val="0"/>
        <w:rPr>
          <w:rFonts w:ascii="Times New Roman" w:hAnsi="Times New Roman" w:cs="Times New Roman"/>
          <w:b/>
          <w:bCs/>
          <w:kern w:val="0"/>
          <w:sz w:val="30"/>
          <w:szCs w:val="30"/>
        </w:rPr>
      </w:pPr>
      <w:r>
        <w:rPr>
          <w:rFonts w:ascii="Times New Roman" w:hAnsi="Times New Roman" w:cs="Times New Roman"/>
          <w:b/>
          <w:bCs/>
          <w:kern w:val="0"/>
          <w:sz w:val="30"/>
          <w:szCs w:val="30"/>
        </w:rPr>
        <w:t>UDC</w:t>
      </w:r>
    </w:p>
    <w:p w14:paraId="2C610452">
      <w:pPr>
        <w:wordWrap w:val="0"/>
        <w:autoSpaceDE w:val="0"/>
        <w:autoSpaceDN w:val="0"/>
        <w:adjustRightInd w:val="0"/>
        <w:jc w:val="right"/>
        <w:rPr>
          <w:rFonts w:ascii="Times New Roman" w:hAnsi="Times New Roman" w:eastAsia="黑体" w:cs="Times New Roman"/>
          <w:kern w:val="0"/>
          <w:sz w:val="36"/>
          <w:szCs w:val="36"/>
        </w:rPr>
      </w:pPr>
      <w:r>
        <w:rPr>
          <w:rFonts w:ascii="Times New Roman" w:hAnsi="Times New Roman" w:eastAsia="黑体" w:cs="Times New Roman"/>
          <w:kern w:val="0"/>
          <w:sz w:val="36"/>
          <w:szCs w:val="36"/>
        </w:rPr>
        <w:t>中华人民共和国国家标准</w:t>
      </w:r>
      <w:r>
        <w:rPr>
          <w:rFonts w:ascii="Times New Roman" w:hAnsi="Times New Roman" w:eastAsia="黑体" w:cs="Times New Roman"/>
          <w:kern w:val="0"/>
          <w:sz w:val="36"/>
          <w:szCs w:val="36"/>
        </w:rPr>
        <w:drawing>
          <wp:inline distT="0" distB="0" distL="0" distR="0">
            <wp:extent cx="1076325" cy="59055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
                      <a:extLst>
                        <a:ext uri="{28A0092B-C50C-407E-A947-70E740481C1C}">
                          <a14:useLocalDpi xmlns:a14="http://schemas.microsoft.com/office/drawing/2010/main" val="0"/>
                        </a:ext>
                      </a:extLst>
                    </a:blip>
                    <a:srcRect r="1682"/>
                    <a:stretch>
                      <a:fillRect/>
                    </a:stretch>
                  </pic:blipFill>
                  <pic:spPr>
                    <a:xfrm>
                      <a:off x="0" y="0"/>
                      <a:ext cx="1076325" cy="590550"/>
                    </a:xfrm>
                    <a:prstGeom prst="rect">
                      <a:avLst/>
                    </a:prstGeom>
                    <a:noFill/>
                    <a:ln>
                      <a:noFill/>
                    </a:ln>
                  </pic:spPr>
                </pic:pic>
              </a:graphicData>
            </a:graphic>
          </wp:inline>
        </w:drawing>
      </w:r>
    </w:p>
    <w:p w14:paraId="616E58E8">
      <w:pPr>
        <w:autoSpaceDE w:val="0"/>
        <w:autoSpaceDN w:val="0"/>
        <w:adjustRightInd w:val="0"/>
        <w:rPr>
          <w:rFonts w:hint="eastAsia" w:ascii="Times New Roman" w:hAnsi="Times New Roman" w:eastAsia="宋体" w:cs="Times New Roman"/>
          <w:b/>
          <w:bCs/>
          <w:kern w:val="0"/>
          <w:sz w:val="28"/>
          <w:szCs w:val="28"/>
          <w:lang w:eastAsia="zh-CN"/>
        </w:rPr>
      </w:pPr>
      <w:r>
        <w:rPr>
          <w:rFonts w:ascii="Times New Roman" w:hAnsi="Times New Roman" w:cs="Times New Roman"/>
          <w:b/>
          <w:bCs/>
          <w:kern w:val="0"/>
          <w:sz w:val="24"/>
          <w:szCs w:val="24"/>
        </w:rPr>
        <w:t xml:space="preserve">P                                                </w:t>
      </w:r>
      <w:bookmarkStart w:id="0" w:name="_Hlk507431817"/>
      <w:r>
        <w:rPr>
          <w:rFonts w:ascii="Times New Roman" w:hAnsi="Times New Roman" w:cs="Times New Roman"/>
          <w:b/>
          <w:bCs/>
          <w:kern w:val="0"/>
          <w:sz w:val="28"/>
          <w:szCs w:val="28"/>
        </w:rPr>
        <w:t xml:space="preserve">GB/T </w:t>
      </w:r>
      <w:bookmarkEnd w:id="0"/>
      <w:r>
        <w:rPr>
          <w:rFonts w:ascii="Times New Roman" w:hAnsi="Times New Roman" w:cs="Times New Roman"/>
          <w:b/>
          <w:bCs/>
          <w:kern w:val="0"/>
          <w:sz w:val="28"/>
          <w:szCs w:val="28"/>
        </w:rPr>
        <w:t>5</w:t>
      </w:r>
      <w:r>
        <w:rPr>
          <w:rFonts w:hint="eastAsia" w:ascii="Times New Roman" w:hAnsi="Times New Roman" w:cs="Times New Roman"/>
          <w:b/>
          <w:bCs/>
          <w:kern w:val="0"/>
          <w:sz w:val="28"/>
          <w:szCs w:val="28"/>
          <w:lang w:val="en-US" w:eastAsia="zh-CN"/>
        </w:rPr>
        <w:t>XXXX</w:t>
      </w:r>
      <w:r>
        <w:rPr>
          <w:rFonts w:ascii="Times New Roman" w:hAnsi="Times New Roman" w:cs="Times New Roman"/>
          <w:b/>
          <w:bCs/>
          <w:kern w:val="0"/>
          <w:sz w:val="28"/>
          <w:szCs w:val="28"/>
        </w:rPr>
        <w:t>-20</w:t>
      </w:r>
      <w:r>
        <w:rPr>
          <w:rFonts w:hint="eastAsia" w:ascii="Times New Roman" w:hAnsi="Times New Roman" w:cs="Times New Roman"/>
          <w:b/>
          <w:bCs/>
          <w:kern w:val="0"/>
          <w:sz w:val="28"/>
          <w:szCs w:val="28"/>
        </w:rPr>
        <w:t>2</w:t>
      </w:r>
      <w:r>
        <w:rPr>
          <w:rFonts w:hint="eastAsia" w:ascii="Times New Roman" w:hAnsi="Times New Roman" w:cs="Times New Roman"/>
          <w:b/>
          <w:bCs/>
          <w:kern w:val="0"/>
          <w:sz w:val="28"/>
          <w:szCs w:val="28"/>
          <w:lang w:val="en-US" w:eastAsia="zh-CN"/>
        </w:rPr>
        <w:t>X</w:t>
      </w:r>
    </w:p>
    <w:p w14:paraId="03009356">
      <w:pPr>
        <w:autoSpaceDE w:val="0"/>
        <w:autoSpaceDN w:val="0"/>
        <w:adjustRightInd w:val="0"/>
        <w:rPr>
          <w:rFonts w:ascii="Times New Roman" w:hAnsi="Times New Roman" w:cs="Times New Roman"/>
          <w:b/>
          <w:bCs/>
          <w:kern w:val="0"/>
          <w:sz w:val="28"/>
          <w:szCs w:val="28"/>
        </w:rPr>
      </w:pPr>
      <w:r>
        <w:rPr>
          <w:rFonts w:ascii="Times New Roman" w:hAnsi="Times New Roman" w:cs="Times New Roman"/>
          <w:b/>
          <w:bCs/>
          <w:kern w:val="0"/>
          <w:sz w:val="24"/>
        </w:rPr>
        <mc:AlternateContent>
          <mc:Choice Requires="wps">
            <w:drawing>
              <wp:anchor distT="0" distB="0" distL="114300" distR="114300" simplePos="0" relativeHeight="251659264" behindDoc="0" locked="0" layoutInCell="1" allowOverlap="1">
                <wp:simplePos x="0" y="0"/>
                <wp:positionH relativeFrom="column">
                  <wp:posOffset>-125095</wp:posOffset>
                </wp:positionH>
                <wp:positionV relativeFrom="paragraph">
                  <wp:posOffset>55245</wp:posOffset>
                </wp:positionV>
                <wp:extent cx="5666105" cy="635"/>
                <wp:effectExtent l="0" t="0" r="10795" b="18415"/>
                <wp:wrapNone/>
                <wp:docPr id="10" name="直接连接符 6"/>
                <wp:cNvGraphicFramePr/>
                <a:graphic xmlns:a="http://schemas.openxmlformats.org/drawingml/2006/main">
                  <a:graphicData uri="http://schemas.microsoft.com/office/word/2010/wordprocessingShape">
                    <wps:wsp>
                      <wps:cNvCnPr>
                        <a:cxnSpLocks noChangeShapeType="1"/>
                      </wps:cNvCnPr>
                      <wps:spPr bwMode="auto">
                        <a:xfrm flipV="1">
                          <a:off x="0" y="0"/>
                          <a:ext cx="5666105" cy="635"/>
                        </a:xfrm>
                        <a:prstGeom prst="line">
                          <a:avLst/>
                        </a:prstGeom>
                        <a:noFill/>
                        <a:ln w="19050">
                          <a:solidFill>
                            <a:srgbClr val="000000"/>
                          </a:solidFill>
                          <a:round/>
                        </a:ln>
                        <a:effectLst/>
                      </wps:spPr>
                      <wps:bodyPr/>
                    </wps:wsp>
                  </a:graphicData>
                </a:graphic>
              </wp:anchor>
            </w:drawing>
          </mc:Choice>
          <mc:Fallback>
            <w:pict>
              <v:line id="直接连接符 6" o:spid="_x0000_s1026" o:spt="20" style="position:absolute;left:0pt;flip:y;margin-left:-9.85pt;margin-top:4.35pt;height:0.05pt;width:446.15pt;z-index:251659264;mso-width-relative:page;mso-height-relative:page;" filled="f" stroked="t" coordsize="21600,21600" o:gfxdata="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ivIHRNUAAAAHAQAADwAAAAAAAAABACAAAAAiAAAAZHJzL2Rvd25yZXYueG1sUEsBAhQAFAAA&#10;AAgAh07iQO5TZYnyAQAAxgMAAA4AAAAAAAAAAQAgAAAAJAEAAGRycy9lMm9Eb2MueG1sUEsFBgAA&#10;AAAGAAYAWQEAAIgFAAAAAA==&#10;">
                <v:fill on="f" focussize="0,0"/>
                <v:stroke weight="1.5pt" color="#000000" joinstyle="round"/>
                <v:imagedata o:title=""/>
                <o:lock v:ext="edit" aspectratio="f"/>
              </v:line>
            </w:pict>
          </mc:Fallback>
        </mc:AlternateContent>
      </w:r>
    </w:p>
    <w:p w14:paraId="2D4C0419">
      <w:pPr>
        <w:autoSpaceDE w:val="0"/>
        <w:autoSpaceDN w:val="0"/>
        <w:adjustRightInd w:val="0"/>
        <w:rPr>
          <w:rFonts w:ascii="Times New Roman" w:hAnsi="Times New Roman" w:cs="Times New Roman"/>
          <w:b/>
          <w:bCs/>
          <w:kern w:val="0"/>
          <w:sz w:val="28"/>
          <w:szCs w:val="28"/>
        </w:rPr>
      </w:pPr>
      <w:bookmarkStart w:id="60" w:name="_GoBack"/>
      <w:bookmarkEnd w:id="60"/>
    </w:p>
    <w:p w14:paraId="1FE33C20">
      <w:pPr>
        <w:pStyle w:val="55"/>
        <w:spacing w:beforeLines="0" w:after="312"/>
        <w:outlineLvl w:val="9"/>
        <w:rPr>
          <w:rFonts w:eastAsia="黑体"/>
          <w:w w:val="95"/>
          <w:sz w:val="48"/>
        </w:rPr>
      </w:pPr>
      <w:r>
        <w:rPr>
          <w:rFonts w:hint="eastAsia" w:eastAsia="黑体"/>
          <w:w w:val="95"/>
          <w:sz w:val="48"/>
        </w:rPr>
        <w:t>城市体检评估技术标准</w:t>
      </w:r>
    </w:p>
    <w:p w14:paraId="3C0F0DCC">
      <w:pPr>
        <w:autoSpaceDE w:val="0"/>
        <w:autoSpaceDN w:val="0"/>
        <w:adjustRightInd w:val="0"/>
        <w:jc w:val="center"/>
        <w:rPr>
          <w:rFonts w:ascii="Times New Roman" w:hAnsi="Times New Roman" w:cs="Times New Roman"/>
          <w:b/>
          <w:bCs/>
          <w:kern w:val="0"/>
          <w:sz w:val="32"/>
          <w:szCs w:val="32"/>
        </w:rPr>
      </w:pPr>
      <w:bookmarkStart w:id="1" w:name="_Hlk486841812"/>
      <w:r>
        <w:rPr>
          <w:rFonts w:ascii="Times New Roman" w:hAnsi="Times New Roman" w:eastAsia="黑体" w:cs="Times New Roman"/>
          <w:w w:val="95"/>
          <w:sz w:val="36"/>
          <w:szCs w:val="36"/>
        </w:rPr>
        <w:t xml:space="preserve">Technical </w:t>
      </w:r>
      <w:r>
        <w:rPr>
          <w:rFonts w:hint="eastAsia" w:ascii="Times New Roman" w:hAnsi="Times New Roman" w:eastAsia="黑体" w:cs="Times New Roman"/>
          <w:w w:val="95"/>
          <w:sz w:val="36"/>
          <w:szCs w:val="36"/>
        </w:rPr>
        <w:t>s</w:t>
      </w:r>
      <w:r>
        <w:rPr>
          <w:rFonts w:ascii="Times New Roman" w:hAnsi="Times New Roman" w:eastAsia="黑体" w:cs="Times New Roman"/>
          <w:w w:val="95"/>
          <w:sz w:val="36"/>
          <w:szCs w:val="36"/>
        </w:rPr>
        <w:t xml:space="preserve">tandard for urban health check </w:t>
      </w:r>
      <w:bookmarkEnd w:id="1"/>
      <w:r>
        <w:rPr>
          <w:rFonts w:hint="eastAsia" w:ascii="Times New Roman" w:hAnsi="Times New Roman" w:eastAsia="黑体" w:cs="Times New Roman"/>
          <w:w w:val="95"/>
          <w:sz w:val="36"/>
          <w:szCs w:val="36"/>
        </w:rPr>
        <w:t>and</w:t>
      </w:r>
      <w:r>
        <w:rPr>
          <w:rFonts w:ascii="Times New Roman" w:hAnsi="Times New Roman" w:eastAsia="黑体" w:cs="Times New Roman"/>
          <w:w w:val="95"/>
          <w:sz w:val="36"/>
          <w:szCs w:val="36"/>
        </w:rPr>
        <w:t xml:space="preserve"> assessment</w:t>
      </w:r>
    </w:p>
    <w:p w14:paraId="3644A32D">
      <w:pPr>
        <w:autoSpaceDE w:val="0"/>
        <w:autoSpaceDN w:val="0"/>
        <w:adjustRightInd w:val="0"/>
        <w:jc w:val="center"/>
        <w:rPr>
          <w:rFonts w:ascii="Times New Roman" w:hAnsi="Times New Roman" w:cs="Times New Roman"/>
          <w:b/>
          <w:bCs/>
          <w:kern w:val="0"/>
          <w:sz w:val="32"/>
          <w:szCs w:val="32"/>
        </w:rPr>
      </w:pPr>
    </w:p>
    <w:p w14:paraId="7B10E628">
      <w:pPr>
        <w:autoSpaceDE w:val="0"/>
        <w:autoSpaceDN w:val="0"/>
        <w:adjustRightInd w:val="0"/>
        <w:jc w:val="center"/>
        <w:rPr>
          <w:rFonts w:hint="eastAsia" w:ascii="Times New Roman" w:hAnsi="Times New Roman" w:eastAsia="宋体" w:cs="Times New Roman"/>
          <w:kern w:val="0"/>
          <w:sz w:val="36"/>
          <w:szCs w:val="36"/>
          <w:lang w:eastAsia="zh-CN"/>
        </w:rPr>
      </w:pPr>
      <w:r>
        <w:rPr>
          <w:rFonts w:hint="eastAsia" w:ascii="Times New Roman" w:hAnsi="Times New Roman" w:cs="Times New Roman"/>
          <w:kern w:val="0"/>
          <w:sz w:val="36"/>
          <w:szCs w:val="36"/>
          <w:lang w:eastAsia="zh-CN"/>
        </w:rPr>
        <w:t>（</w:t>
      </w:r>
      <w:r>
        <w:rPr>
          <w:rFonts w:ascii="Times New Roman" w:hAnsi="Times New Roman" w:cs="Times New Roman"/>
          <w:color w:val="000000" w:themeColor="text1"/>
          <w:kern w:val="0"/>
          <w:sz w:val="36"/>
          <w:szCs w:val="36"/>
          <w14:textFill>
            <w14:solidFill>
              <w14:schemeClr w14:val="tx1"/>
            </w14:solidFill>
          </w14:textFill>
        </w:rPr>
        <w:t>征求意见稿</w:t>
      </w:r>
      <w:r>
        <w:rPr>
          <w:rFonts w:hint="eastAsia" w:ascii="Times New Roman" w:hAnsi="Times New Roman" w:cs="Times New Roman"/>
          <w:kern w:val="0"/>
          <w:sz w:val="36"/>
          <w:szCs w:val="36"/>
          <w:lang w:eastAsia="zh-CN"/>
        </w:rPr>
        <w:t>）</w:t>
      </w:r>
    </w:p>
    <w:p w14:paraId="5A25E6FC">
      <w:pPr>
        <w:autoSpaceDE w:val="0"/>
        <w:autoSpaceDN w:val="0"/>
        <w:adjustRightInd w:val="0"/>
        <w:rPr>
          <w:rFonts w:ascii="Times New Roman" w:hAnsi="Times New Roman" w:cs="Times New Roman"/>
          <w:kern w:val="0"/>
          <w:sz w:val="28"/>
          <w:szCs w:val="28"/>
        </w:rPr>
      </w:pPr>
    </w:p>
    <w:p w14:paraId="0E36EEF0">
      <w:pPr>
        <w:autoSpaceDE w:val="0"/>
        <w:autoSpaceDN w:val="0"/>
        <w:adjustRightInd w:val="0"/>
        <w:jc w:val="center"/>
        <w:rPr>
          <w:rFonts w:ascii="Times New Roman" w:hAnsi="Times New Roman" w:cs="Times New Roman"/>
          <w:kern w:val="0"/>
          <w:sz w:val="28"/>
          <w:szCs w:val="28"/>
        </w:rPr>
      </w:pPr>
      <w:r>
        <w:rPr>
          <w:rFonts w:hint="eastAsia"/>
          <w:b/>
          <w:bCs/>
          <w:sz w:val="22"/>
          <w:szCs w:val="22"/>
        </w:rPr>
        <w:t>在提交反馈意见时，请将您知道的相关专利连同支持性文件一并附上</w:t>
      </w:r>
      <w:r>
        <w:rPr>
          <w:rFonts w:hint="eastAsia"/>
          <w:b/>
          <w:bCs/>
          <w:sz w:val="22"/>
          <w:szCs w:val="22"/>
          <w:lang w:eastAsia="zh-CN"/>
        </w:rPr>
        <w:t>。</w:t>
      </w:r>
    </w:p>
    <w:p w14:paraId="73A1C377">
      <w:pPr>
        <w:autoSpaceDE w:val="0"/>
        <w:autoSpaceDN w:val="0"/>
        <w:adjustRightInd w:val="0"/>
        <w:rPr>
          <w:rFonts w:ascii="Times New Roman" w:hAnsi="Times New Roman" w:cs="Times New Roman"/>
          <w:kern w:val="0"/>
          <w:sz w:val="28"/>
          <w:szCs w:val="28"/>
        </w:rPr>
      </w:pPr>
    </w:p>
    <w:p w14:paraId="3C8FD069">
      <w:pPr>
        <w:autoSpaceDE w:val="0"/>
        <w:autoSpaceDN w:val="0"/>
        <w:adjustRightInd w:val="0"/>
        <w:rPr>
          <w:rFonts w:ascii="Times New Roman" w:hAnsi="Times New Roman" w:cs="Times New Roman"/>
          <w:kern w:val="0"/>
          <w:sz w:val="28"/>
          <w:szCs w:val="28"/>
        </w:rPr>
      </w:pPr>
    </w:p>
    <w:p w14:paraId="67C61D44">
      <w:pPr>
        <w:autoSpaceDE w:val="0"/>
        <w:autoSpaceDN w:val="0"/>
        <w:adjustRightInd w:val="0"/>
        <w:rPr>
          <w:rFonts w:ascii="Times New Roman" w:hAnsi="Times New Roman" w:cs="Times New Roman"/>
          <w:kern w:val="0"/>
          <w:sz w:val="28"/>
          <w:szCs w:val="28"/>
        </w:rPr>
      </w:pPr>
    </w:p>
    <w:p w14:paraId="2064EF3A">
      <w:pPr>
        <w:autoSpaceDE w:val="0"/>
        <w:autoSpaceDN w:val="0"/>
        <w:adjustRightInd w:val="0"/>
        <w:rPr>
          <w:rFonts w:ascii="Times New Roman" w:hAnsi="Times New Roman" w:cs="Times New Roman"/>
          <w:kern w:val="0"/>
          <w:sz w:val="28"/>
          <w:szCs w:val="28"/>
        </w:rPr>
      </w:pPr>
    </w:p>
    <w:p w14:paraId="26FBEAC0">
      <w:pPr>
        <w:autoSpaceDE w:val="0"/>
        <w:autoSpaceDN w:val="0"/>
        <w:adjustRightInd w:val="0"/>
        <w:rPr>
          <w:rFonts w:ascii="Times New Roman" w:hAnsi="Times New Roman" w:cs="Times New Roman"/>
          <w:kern w:val="0"/>
          <w:sz w:val="28"/>
          <w:szCs w:val="28"/>
        </w:rPr>
      </w:pPr>
    </w:p>
    <w:p w14:paraId="6FBA24B8">
      <w:pPr>
        <w:autoSpaceDE w:val="0"/>
        <w:autoSpaceDN w:val="0"/>
        <w:adjustRightInd w:val="0"/>
        <w:spacing w:after="312" w:afterLines="100"/>
        <w:rPr>
          <w:rFonts w:ascii="Times New Roman" w:hAnsi="Times New Roman" w:eastAsia="黑体" w:cs="Times New Roman"/>
          <w:kern w:val="0"/>
          <w:sz w:val="28"/>
          <w:szCs w:val="28"/>
        </w:rPr>
      </w:pPr>
      <w:r>
        <w:rPr>
          <w:rFonts w:ascii="Times New Roman" w:hAnsi="Times New Roman" w:cs="Times New Roman"/>
          <w:b/>
          <w:bCs/>
          <w:kern w:val="0"/>
          <w:sz w:val="24"/>
        </w:rP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369570</wp:posOffset>
                </wp:positionV>
                <wp:extent cx="5666105" cy="635"/>
                <wp:effectExtent l="0" t="0" r="10795" b="18415"/>
                <wp:wrapNone/>
                <wp:docPr id="9" name="直接连接符 5"/>
                <wp:cNvGraphicFramePr/>
                <a:graphic xmlns:a="http://schemas.openxmlformats.org/drawingml/2006/main">
                  <a:graphicData uri="http://schemas.microsoft.com/office/word/2010/wordprocessingShape">
                    <wps:wsp>
                      <wps:cNvCnPr>
                        <a:cxnSpLocks noChangeShapeType="1"/>
                      </wps:cNvCnPr>
                      <wps:spPr bwMode="auto">
                        <a:xfrm flipV="1">
                          <a:off x="0" y="0"/>
                          <a:ext cx="5666105" cy="635"/>
                        </a:xfrm>
                        <a:prstGeom prst="line">
                          <a:avLst/>
                        </a:prstGeom>
                        <a:noFill/>
                        <a:ln w="19050">
                          <a:solidFill>
                            <a:srgbClr val="000000"/>
                          </a:solidFill>
                          <a:round/>
                        </a:ln>
                        <a:effectLst/>
                      </wps:spPr>
                      <wps:bodyPr/>
                    </wps:wsp>
                  </a:graphicData>
                </a:graphic>
              </wp:anchor>
            </w:drawing>
          </mc:Choice>
          <mc:Fallback>
            <w:pict>
              <v:line id="直接连接符 5" o:spid="_x0000_s1026" o:spt="20" style="position:absolute;left:0pt;flip:y;margin-left:-9pt;margin-top:29.1pt;height:0.05pt;width:446.15pt;z-index:251660288;mso-width-relative:page;mso-height-relative:page;" filled="f" stroked="t" coordsize="21600,21600" o:gfxdata="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xfqsBNgAAAAJAQAADwAAAAAAAAABACAAAAAiAAAAZHJzL2Rvd25yZXYueG1sUEsBAhQA&#10;FAAAAAgAh07iQLveOqDyAQAAxQMAAA4AAAAAAAAAAQAgAAAAJwEAAGRycy9lMm9Eb2MueG1sUEsF&#10;BgAAAAAGAAYAWQEAAIsFAAAAAA==&#10;">
                <v:fill on="f" focussize="0,0"/>
                <v:stroke weight="1.5pt" color="#000000" joinstyle="round"/>
                <v:imagedata o:title=""/>
                <o:lock v:ext="edit" aspectratio="f"/>
              </v:line>
            </w:pict>
          </mc:Fallback>
        </mc:AlternateContent>
      </w:r>
      <w:r>
        <w:rPr>
          <w:rFonts w:ascii="Times New Roman" w:hAnsi="Times New Roman" w:cs="Times New Roman"/>
          <w:kern w:val="0"/>
          <w:sz w:val="28"/>
          <w:szCs w:val="28"/>
        </w:rPr>
        <w:t>202</w:t>
      </w:r>
      <w:r>
        <w:rPr>
          <w:rFonts w:hint="eastAsia" w:ascii="Times New Roman" w:hAnsi="Times New Roman" w:cs="Times New Roman"/>
          <w:kern w:val="0"/>
          <w:sz w:val="28"/>
          <w:szCs w:val="28"/>
          <w:lang w:val="en-US" w:eastAsia="zh-CN"/>
        </w:rPr>
        <w:t>X</w:t>
      </w:r>
      <w:r>
        <w:rPr>
          <w:rFonts w:ascii="Times New Roman" w:hAnsi="Times New Roman" w:eastAsia="黑体" w:cs="Times New Roman"/>
          <w:kern w:val="0"/>
          <w:sz w:val="28"/>
          <w:szCs w:val="28"/>
        </w:rPr>
        <w:t xml:space="preserve">– </w:t>
      </w:r>
      <w:r>
        <w:rPr>
          <w:rFonts w:ascii="Times New Roman" w:hAnsi="Times New Roman" w:cs="Times New Roman"/>
          <w:kern w:val="0"/>
          <w:sz w:val="28"/>
          <w:szCs w:val="28"/>
        </w:rPr>
        <w:t>XX</w:t>
      </w:r>
      <w:r>
        <w:rPr>
          <w:rFonts w:ascii="Times New Roman" w:hAnsi="Times New Roman" w:eastAsia="黑体" w:cs="Times New Roman"/>
          <w:kern w:val="0"/>
          <w:sz w:val="28"/>
          <w:szCs w:val="28"/>
        </w:rPr>
        <w:t xml:space="preserve"> –</w:t>
      </w:r>
      <w:r>
        <w:rPr>
          <w:rFonts w:ascii="Times New Roman" w:hAnsi="Times New Roman" w:cs="Times New Roman"/>
          <w:kern w:val="0"/>
          <w:sz w:val="28"/>
          <w:szCs w:val="28"/>
        </w:rPr>
        <w:t xml:space="preserve">XX </w:t>
      </w:r>
      <w:r>
        <w:rPr>
          <w:rFonts w:ascii="Times New Roman" w:hAnsi="Times New Roman" w:eastAsia="黑体" w:cs="Times New Roman"/>
          <w:kern w:val="0"/>
          <w:sz w:val="28"/>
          <w:szCs w:val="28"/>
        </w:rPr>
        <w:t>发布</w:t>
      </w:r>
      <w:r>
        <w:rPr>
          <w:rFonts w:hint="eastAsia" w:ascii="Times New Roman" w:hAnsi="Times New Roman" w:eastAsia="黑体" w:cs="Times New Roman"/>
          <w:kern w:val="0"/>
          <w:sz w:val="28"/>
          <w:szCs w:val="28"/>
        </w:rPr>
        <w:t xml:space="preserve"> </w:t>
      </w:r>
      <w:r>
        <w:rPr>
          <w:rFonts w:ascii="Times New Roman" w:hAnsi="Times New Roman" w:eastAsia="黑体" w:cs="Times New Roman"/>
          <w:kern w:val="0"/>
          <w:sz w:val="28"/>
          <w:szCs w:val="28"/>
        </w:rPr>
        <w:t xml:space="preserve">                      </w:t>
      </w:r>
      <w:r>
        <w:rPr>
          <w:rFonts w:ascii="Times New Roman" w:hAnsi="Times New Roman" w:cs="Times New Roman"/>
          <w:kern w:val="0"/>
          <w:sz w:val="28"/>
          <w:szCs w:val="28"/>
        </w:rPr>
        <w:t>202</w:t>
      </w:r>
      <w:r>
        <w:rPr>
          <w:rFonts w:hint="eastAsia" w:ascii="Times New Roman" w:hAnsi="Times New Roman" w:cs="Times New Roman"/>
          <w:kern w:val="0"/>
          <w:sz w:val="28"/>
          <w:szCs w:val="28"/>
          <w:lang w:val="en-US" w:eastAsia="zh-CN"/>
        </w:rPr>
        <w:t>X</w:t>
      </w:r>
      <w:r>
        <w:rPr>
          <w:rFonts w:ascii="Times New Roman" w:hAnsi="Times New Roman" w:eastAsia="黑体" w:cs="Times New Roman"/>
          <w:kern w:val="0"/>
          <w:sz w:val="28"/>
          <w:szCs w:val="28"/>
        </w:rPr>
        <w:t xml:space="preserve">– </w:t>
      </w:r>
      <w:r>
        <w:rPr>
          <w:rFonts w:ascii="Times New Roman" w:hAnsi="Times New Roman" w:cs="Times New Roman"/>
          <w:kern w:val="0"/>
          <w:sz w:val="28"/>
          <w:szCs w:val="28"/>
        </w:rPr>
        <w:t>XX</w:t>
      </w:r>
      <w:r>
        <w:rPr>
          <w:rFonts w:ascii="Times New Roman" w:hAnsi="Times New Roman" w:eastAsia="黑体" w:cs="Times New Roman"/>
          <w:kern w:val="0"/>
          <w:sz w:val="28"/>
          <w:szCs w:val="28"/>
        </w:rPr>
        <w:t xml:space="preserve"> –</w:t>
      </w:r>
      <w:r>
        <w:rPr>
          <w:rFonts w:hint="eastAsia" w:ascii="Times New Roman" w:hAnsi="Times New Roman" w:eastAsia="黑体" w:cs="Times New Roman"/>
          <w:kern w:val="0"/>
          <w:sz w:val="28"/>
          <w:szCs w:val="28"/>
          <w:lang w:val="en-US" w:eastAsia="zh-CN"/>
        </w:rPr>
        <w:t>XX</w:t>
      </w:r>
      <w:r>
        <w:rPr>
          <w:rFonts w:ascii="Times New Roman" w:hAnsi="Times New Roman" w:cs="Times New Roman"/>
          <w:kern w:val="0"/>
          <w:sz w:val="28"/>
          <w:szCs w:val="28"/>
        </w:rPr>
        <w:t xml:space="preserve"> </w:t>
      </w:r>
      <w:r>
        <w:rPr>
          <w:rFonts w:ascii="Times New Roman" w:hAnsi="Times New Roman" w:eastAsia="黑体" w:cs="Times New Roman"/>
          <w:kern w:val="0"/>
          <w:sz w:val="28"/>
          <w:szCs w:val="28"/>
        </w:rPr>
        <w:t>实施</w:t>
      </w:r>
    </w:p>
    <w:tbl>
      <w:tblPr>
        <w:tblStyle w:val="27"/>
        <w:tblW w:w="8764" w:type="dxa"/>
        <w:tblInd w:w="0" w:type="dxa"/>
        <w:tblLayout w:type="fixed"/>
        <w:tblCellMar>
          <w:top w:w="0" w:type="dxa"/>
          <w:left w:w="108" w:type="dxa"/>
          <w:bottom w:w="0" w:type="dxa"/>
          <w:right w:w="108" w:type="dxa"/>
        </w:tblCellMar>
      </w:tblPr>
      <w:tblGrid>
        <w:gridCol w:w="5958"/>
        <w:gridCol w:w="2806"/>
      </w:tblGrid>
      <w:tr w14:paraId="2B71B926">
        <w:tblPrEx>
          <w:tblCellMar>
            <w:top w:w="0" w:type="dxa"/>
            <w:left w:w="108" w:type="dxa"/>
            <w:bottom w:w="0" w:type="dxa"/>
            <w:right w:w="108" w:type="dxa"/>
          </w:tblCellMar>
        </w:tblPrEx>
        <w:tc>
          <w:tcPr>
            <w:tcW w:w="5958" w:type="dxa"/>
          </w:tcPr>
          <w:p w14:paraId="39575AA1">
            <w:pPr>
              <w:autoSpaceDE w:val="0"/>
              <w:autoSpaceDN w:val="0"/>
              <w:adjustRightInd w:val="0"/>
              <w:ind w:firstLine="90" w:firstLineChars="25"/>
              <w:jc w:val="left"/>
              <w:rPr>
                <w:rFonts w:ascii="Times New Roman" w:hAnsi="Times New Roman" w:cs="Times New Roman"/>
                <w:spacing w:val="40"/>
                <w:kern w:val="0"/>
                <w:sz w:val="28"/>
                <w:szCs w:val="28"/>
              </w:rPr>
            </w:pPr>
            <w:r>
              <w:rPr>
                <w:rFonts w:ascii="Times New Roman" w:hAnsi="Times New Roman" w:eastAsia="黑体" w:cs="Times New Roman"/>
                <w:spacing w:val="40"/>
                <w:kern w:val="0"/>
                <w:sz w:val="28"/>
                <w:szCs w:val="28"/>
              </w:rPr>
              <w:t>中华人民共和国住房和城乡建设部</w:t>
            </w:r>
          </w:p>
        </w:tc>
        <w:tc>
          <w:tcPr>
            <w:tcW w:w="2806" w:type="dxa"/>
            <w:vMerge w:val="restart"/>
            <w:vAlign w:val="center"/>
          </w:tcPr>
          <w:p w14:paraId="2EB8F384">
            <w:pPr>
              <w:autoSpaceDE w:val="0"/>
              <w:autoSpaceDN w:val="0"/>
              <w:adjustRightInd w:val="0"/>
              <w:jc w:val="center"/>
              <w:rPr>
                <w:rFonts w:ascii="Times New Roman" w:hAnsi="Times New Roman" w:cs="Times New Roman"/>
                <w:kern w:val="0"/>
                <w:sz w:val="28"/>
                <w:szCs w:val="28"/>
              </w:rPr>
            </w:pPr>
            <w:r>
              <w:rPr>
                <w:rFonts w:ascii="Times New Roman" w:hAnsi="Times New Roman" w:eastAsia="黑体" w:cs="Times New Roman"/>
                <w:kern w:val="0"/>
                <w:sz w:val="28"/>
                <w:szCs w:val="28"/>
              </w:rPr>
              <w:t>联合发布</w:t>
            </w:r>
          </w:p>
        </w:tc>
      </w:tr>
      <w:tr w14:paraId="2C747C79">
        <w:tblPrEx>
          <w:tblCellMar>
            <w:top w:w="0" w:type="dxa"/>
            <w:left w:w="108" w:type="dxa"/>
            <w:bottom w:w="0" w:type="dxa"/>
            <w:right w:w="108" w:type="dxa"/>
          </w:tblCellMar>
        </w:tblPrEx>
        <w:tc>
          <w:tcPr>
            <w:tcW w:w="5958" w:type="dxa"/>
          </w:tcPr>
          <w:p w14:paraId="022D883C">
            <w:pPr>
              <w:autoSpaceDE w:val="0"/>
              <w:autoSpaceDN w:val="0"/>
              <w:adjustRightInd w:val="0"/>
              <w:ind w:firstLine="90" w:firstLineChars="25"/>
              <w:jc w:val="left"/>
              <w:rPr>
                <w:rFonts w:ascii="Times New Roman" w:hAnsi="Times New Roman" w:cs="Times New Roman"/>
                <w:kern w:val="0"/>
                <w:sz w:val="28"/>
                <w:szCs w:val="28"/>
              </w:rPr>
            </w:pPr>
            <w:r>
              <w:rPr>
                <w:rFonts w:ascii="Times New Roman" w:hAnsi="Times New Roman" w:eastAsia="黑体" w:cs="Times New Roman"/>
                <w:spacing w:val="40"/>
                <w:kern w:val="0"/>
                <w:sz w:val="28"/>
                <w:szCs w:val="28"/>
              </w:rPr>
              <w:t>中华人民共和国</w:t>
            </w:r>
            <w:r>
              <w:rPr>
                <w:rFonts w:hint="eastAsia" w:ascii="Times New Roman" w:hAnsi="Times New Roman" w:eastAsia="黑体" w:cs="Times New Roman"/>
                <w:spacing w:val="40"/>
                <w:kern w:val="0"/>
                <w:sz w:val="28"/>
                <w:szCs w:val="28"/>
              </w:rPr>
              <w:t>XXXX</w:t>
            </w:r>
          </w:p>
        </w:tc>
        <w:tc>
          <w:tcPr>
            <w:tcW w:w="2806" w:type="dxa"/>
            <w:vMerge w:val="continue"/>
          </w:tcPr>
          <w:p w14:paraId="37868B7D">
            <w:pPr>
              <w:autoSpaceDE w:val="0"/>
              <w:autoSpaceDN w:val="0"/>
              <w:adjustRightInd w:val="0"/>
              <w:rPr>
                <w:rFonts w:ascii="Times New Roman" w:hAnsi="Times New Roman" w:cs="Times New Roman"/>
                <w:kern w:val="0"/>
                <w:sz w:val="28"/>
                <w:szCs w:val="28"/>
              </w:rPr>
            </w:pPr>
          </w:p>
        </w:tc>
      </w:tr>
    </w:tbl>
    <w:p w14:paraId="07F8CC72">
      <w:pPr>
        <w:pStyle w:val="56"/>
        <w:spacing w:line="360" w:lineRule="auto"/>
        <w:jc w:val="center"/>
        <w:rPr>
          <w:rFonts w:ascii="Times New Roman" w:hAnsi="Times New Roman" w:cs="Times New Roman"/>
          <w:b/>
          <w:color w:val="auto"/>
          <w:sz w:val="28"/>
          <w:szCs w:val="28"/>
        </w:rPr>
        <w:sectPr>
          <w:footerReference r:id="rId4" w:type="first"/>
          <w:footerReference r:id="rId3" w:type="default"/>
          <w:pgSz w:w="11906" w:h="16838"/>
          <w:pgMar w:top="1440" w:right="1800" w:bottom="1440" w:left="1800" w:header="851" w:footer="992" w:gutter="0"/>
          <w:pgNumType w:fmt="upperRoman"/>
          <w:cols w:space="720" w:num="1"/>
          <w:docGrid w:type="lines" w:linePitch="312" w:charSpace="0"/>
        </w:sectPr>
      </w:pPr>
    </w:p>
    <w:p w14:paraId="2E98E41D">
      <w:pPr>
        <w:pStyle w:val="56"/>
        <w:spacing w:line="36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前</w:t>
      </w:r>
      <w:r>
        <w:rPr>
          <w:rFonts w:hint="eastAsia" w:ascii="Times New Roman" w:hAnsi="Times New Roman" w:cs="Times New Roman"/>
          <w:b/>
          <w:color w:val="auto"/>
          <w:sz w:val="28"/>
          <w:szCs w:val="28"/>
        </w:rPr>
        <w:t xml:space="preserve"> </w:t>
      </w:r>
      <w:r>
        <w:rPr>
          <w:rFonts w:ascii="Times New Roman" w:hAnsi="Times New Roman" w:cs="Times New Roman"/>
          <w:b/>
          <w:color w:val="auto"/>
          <w:sz w:val="28"/>
          <w:szCs w:val="28"/>
        </w:rPr>
        <w:t xml:space="preserve"> 言</w:t>
      </w:r>
    </w:p>
    <w:p w14:paraId="0F7B15B8">
      <w:pPr>
        <w:pStyle w:val="56"/>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根据住房和城乡建设部</w:t>
      </w:r>
      <w:r>
        <w:rPr>
          <w:rFonts w:hint="eastAsia" w:ascii="Times New Roman" w:hAnsi="Times New Roman" w:cs="Times New Roman"/>
          <w:color w:val="auto"/>
        </w:rPr>
        <w:t>《关于印发2025年工程建设规范标准编制及相关工作计划的通知》（建标函〔2025〕18号）</w:t>
      </w:r>
      <w:r>
        <w:rPr>
          <w:rFonts w:ascii="Times New Roman" w:hAnsi="Times New Roman" w:cs="Times New Roman"/>
          <w:color w:val="auto"/>
        </w:rPr>
        <w:t>的要求，标准编制组经广泛调查研究，认真总结实践经验，参考有关国际标准和国外先进标准，并在广泛征求意见的基础上，</w:t>
      </w:r>
      <w:r>
        <w:rPr>
          <w:rFonts w:ascii="Times New Roman" w:hAnsi="Times New Roman" w:cs="Times New Roman" w:eastAsiaTheme="minorEastAsia"/>
          <w:color w:val="auto"/>
        </w:rPr>
        <w:t>编制</w:t>
      </w:r>
      <w:r>
        <w:rPr>
          <w:rFonts w:ascii="Times New Roman" w:hAnsi="Times New Roman" w:cs="Times New Roman"/>
          <w:color w:val="auto"/>
        </w:rPr>
        <w:t>了本标准。</w:t>
      </w:r>
    </w:p>
    <w:p w14:paraId="19E3B0B9">
      <w:pPr>
        <w:tabs>
          <w:tab w:val="right" w:leader="middleDot" w:pos="8400"/>
        </w:tabs>
        <w:spacing w:line="312" w:lineRule="auto"/>
        <w:ind w:firstLine="480" w:firstLineChars="200"/>
        <w:rPr>
          <w:rFonts w:ascii="Times New Roman" w:hAnsi="Times New Roman" w:cs="Times New Roman"/>
          <w:sz w:val="24"/>
        </w:rPr>
      </w:pPr>
      <w:r>
        <w:rPr>
          <w:rFonts w:ascii="Times New Roman" w:hAnsi="Times New Roman" w:cs="Times New Roman"/>
          <w:sz w:val="24"/>
        </w:rPr>
        <w:t>本标准的主要技术内容是：</w:t>
      </w:r>
      <w:r>
        <w:rPr>
          <w:rFonts w:ascii="Times New Roman" w:hAnsi="Times New Roman" w:cs="Times New Roman"/>
          <w:sz w:val="24"/>
          <w:szCs w:val="24"/>
        </w:rPr>
        <w:t>1</w:t>
      </w:r>
      <w:r>
        <w:rPr>
          <w:rFonts w:ascii="Times New Roman" w:hAnsi="Times New Roman" w:cs="Times New Roman"/>
          <w:sz w:val="24"/>
        </w:rPr>
        <w:t>总则、</w:t>
      </w:r>
      <w:r>
        <w:rPr>
          <w:rFonts w:ascii="Times New Roman" w:hAnsi="Times New Roman" w:cs="Times New Roman"/>
          <w:sz w:val="24"/>
          <w:szCs w:val="24"/>
        </w:rPr>
        <w:t>2</w:t>
      </w:r>
      <w:r>
        <w:rPr>
          <w:rFonts w:ascii="Times New Roman" w:hAnsi="Times New Roman" w:cs="Times New Roman"/>
          <w:sz w:val="24"/>
        </w:rPr>
        <w:t>术语、</w:t>
      </w:r>
      <w:r>
        <w:rPr>
          <w:rFonts w:ascii="Times New Roman" w:hAnsi="Times New Roman" w:cs="Times New Roman"/>
          <w:sz w:val="24"/>
          <w:szCs w:val="24"/>
        </w:rPr>
        <w:t>3</w:t>
      </w:r>
      <w:r>
        <w:rPr>
          <w:rFonts w:ascii="Times New Roman" w:hAnsi="Times New Roman" w:cs="Times New Roman"/>
          <w:sz w:val="24"/>
        </w:rPr>
        <w:t>基本规定、</w:t>
      </w:r>
      <w:r>
        <w:rPr>
          <w:rFonts w:ascii="Times New Roman" w:hAnsi="Times New Roman" w:cs="Times New Roman"/>
          <w:sz w:val="24"/>
          <w:szCs w:val="24"/>
        </w:rPr>
        <w:t>4</w:t>
      </w:r>
      <w:r>
        <w:rPr>
          <w:rFonts w:hint="eastAsia" w:ascii="Times New Roman" w:hAnsi="Times New Roman" w:cs="Times New Roman"/>
          <w:sz w:val="24"/>
        </w:rPr>
        <w:t>指标体系</w:t>
      </w:r>
      <w:r>
        <w:rPr>
          <w:rFonts w:ascii="Times New Roman" w:hAnsi="Times New Roman" w:cs="Times New Roman"/>
          <w:sz w:val="24"/>
        </w:rPr>
        <w:t>、</w:t>
      </w:r>
      <w:r>
        <w:rPr>
          <w:rFonts w:hint="eastAsia" w:ascii="Times New Roman" w:hAnsi="Times New Roman" w:cs="Times New Roman"/>
          <w:sz w:val="24"/>
        </w:rPr>
        <w:t>5数据采集</w:t>
      </w:r>
      <w:r>
        <w:rPr>
          <w:rFonts w:ascii="Times New Roman" w:hAnsi="Times New Roman" w:cs="Times New Roman"/>
          <w:sz w:val="24"/>
        </w:rPr>
        <w:t>、</w:t>
      </w:r>
      <w:r>
        <w:rPr>
          <w:rFonts w:ascii="Times New Roman" w:hAnsi="Times New Roman" w:cs="Times New Roman"/>
          <w:sz w:val="24"/>
          <w:szCs w:val="24"/>
        </w:rPr>
        <w:t>6</w:t>
      </w:r>
      <w:r>
        <w:rPr>
          <w:rFonts w:hint="eastAsia" w:ascii="Times New Roman" w:hAnsi="Times New Roman" w:cs="Times New Roman"/>
          <w:sz w:val="24"/>
        </w:rPr>
        <w:t>分析诊断、</w:t>
      </w:r>
      <w:r>
        <w:rPr>
          <w:rFonts w:ascii="Times New Roman" w:hAnsi="Times New Roman" w:cs="Times New Roman"/>
          <w:sz w:val="24"/>
        </w:rPr>
        <w:t>7</w:t>
      </w:r>
      <w:r>
        <w:rPr>
          <w:rFonts w:hint="eastAsia" w:ascii="Times New Roman" w:hAnsi="Times New Roman" w:cs="Times New Roman"/>
          <w:sz w:val="24"/>
        </w:rPr>
        <w:t>数据库与信息平台</w:t>
      </w:r>
      <w:r>
        <w:rPr>
          <w:rFonts w:ascii="Times New Roman" w:hAnsi="Times New Roman" w:cs="Times New Roman"/>
          <w:sz w:val="24"/>
        </w:rPr>
        <w:t>。</w:t>
      </w:r>
    </w:p>
    <w:p w14:paraId="0418E5AF">
      <w:pPr>
        <w:pStyle w:val="56"/>
        <w:spacing w:line="360" w:lineRule="auto"/>
        <w:ind w:firstLine="480" w:firstLineChars="200"/>
        <w:jc w:val="both"/>
        <w:rPr>
          <w:rFonts w:ascii="Times New Roman" w:hAnsi="Times New Roman" w:cs="Times New Roman"/>
          <w:color w:val="auto"/>
        </w:rPr>
      </w:pPr>
      <w:r>
        <w:rPr>
          <w:rFonts w:ascii="Times New Roman" w:hAnsi="Times New Roman" w:cs="Times New Roman"/>
          <w:color w:val="auto"/>
        </w:rPr>
        <w:t>本标准由住房和城乡建设部负责管理</w:t>
      </w:r>
      <w:r>
        <w:rPr>
          <w:rFonts w:hint="eastAsia" w:ascii="Times New Roman" w:hAnsi="Times New Roman" w:cs="Times New Roman"/>
          <w:color w:val="auto"/>
        </w:rPr>
        <w:t>。</w:t>
      </w:r>
    </w:p>
    <w:p w14:paraId="085BBAD8">
      <w:pPr>
        <w:pStyle w:val="56"/>
        <w:spacing w:line="360" w:lineRule="auto"/>
        <w:ind w:firstLine="480" w:firstLineChars="200"/>
        <w:rPr>
          <w:rFonts w:ascii="Times New Roman" w:hAnsi="Times New Roman" w:cs="Times New Roman"/>
          <w:color w:val="auto"/>
          <w:szCs w:val="21"/>
        </w:rPr>
      </w:pPr>
      <w:r>
        <w:rPr>
          <w:rFonts w:hint="eastAsia" w:ascii="Times New Roman" w:hAnsi="Times New Roman" w:cs="Times New Roman"/>
          <w:color w:val="auto"/>
        </w:rPr>
        <w:t>本标准起草单位：中国城市规划设计研究院</w:t>
      </w:r>
      <w:r>
        <w:rPr>
          <w:rFonts w:hint="eastAsia" w:ascii="Times New Roman" w:hAnsi="Times New Roman" w:cs="Times New Roman"/>
          <w:color w:val="auto"/>
          <w:szCs w:val="21"/>
        </w:rPr>
        <w:t>（地址：北京市海淀区</w:t>
      </w:r>
      <w:r>
        <w:rPr>
          <w:rFonts w:ascii="Times New Roman" w:hAnsi="Times New Roman" w:cs="Times New Roman"/>
          <w:color w:val="auto"/>
          <w:szCs w:val="21"/>
        </w:rPr>
        <w:t>车公庄西路</w:t>
      </w:r>
      <w:r>
        <w:rPr>
          <w:rFonts w:hint="eastAsia" w:ascii="Times New Roman" w:hAnsi="Times New Roman" w:cs="Times New Roman"/>
          <w:color w:val="auto"/>
          <w:szCs w:val="21"/>
        </w:rPr>
        <w:t>5</w:t>
      </w:r>
      <w:r>
        <w:rPr>
          <w:rFonts w:ascii="Times New Roman" w:hAnsi="Times New Roman" w:cs="Times New Roman"/>
          <w:color w:val="auto"/>
          <w:szCs w:val="21"/>
        </w:rPr>
        <w:t>号</w:t>
      </w:r>
      <w:r>
        <w:rPr>
          <w:rFonts w:hint="eastAsia" w:ascii="Times New Roman" w:hAnsi="Times New Roman" w:cs="Times New Roman"/>
          <w:color w:val="auto"/>
          <w:szCs w:val="21"/>
        </w:rPr>
        <w:t>，邮政编码：</w:t>
      </w:r>
      <w:r>
        <w:rPr>
          <w:rFonts w:ascii="Times New Roman" w:hAnsi="Times New Roman" w:cs="Times New Roman"/>
          <w:color w:val="auto"/>
          <w:szCs w:val="21"/>
        </w:rPr>
        <w:t>100044</w:t>
      </w:r>
      <w:r>
        <w:rPr>
          <w:rFonts w:hint="eastAsia" w:ascii="Times New Roman" w:hAnsi="Times New Roman" w:cs="Times New Roman"/>
          <w:color w:val="auto"/>
          <w:szCs w:val="21"/>
        </w:rPr>
        <w:t>）</w:t>
      </w:r>
    </w:p>
    <w:p w14:paraId="01759EDD">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中国科学院地理科学与资源研究所</w:t>
      </w:r>
    </w:p>
    <w:p w14:paraId="1DBB4BFB">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山东省住房城乡建设厅</w:t>
      </w:r>
    </w:p>
    <w:p w14:paraId="20561C45">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江西省住房城乡建设厅</w:t>
      </w:r>
    </w:p>
    <w:p w14:paraId="250E790B">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河北省城市更新促进中心</w:t>
      </w:r>
    </w:p>
    <w:p w14:paraId="5B9D16F1">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唐山市住房城乡建设局</w:t>
      </w:r>
    </w:p>
    <w:p w14:paraId="569201EA">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宁波市城市更新中心</w:t>
      </w:r>
    </w:p>
    <w:p w14:paraId="079BF262">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同济大学</w:t>
      </w:r>
    </w:p>
    <w:p w14:paraId="46AD86D5">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福州大学</w:t>
      </w:r>
    </w:p>
    <w:p w14:paraId="5B97456F">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中规院（北京）规划设计有限公司</w:t>
      </w:r>
    </w:p>
    <w:p w14:paraId="54C5DB91">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中国中建设计研究院有限公司</w:t>
      </w:r>
    </w:p>
    <w:p w14:paraId="0E9D51C9">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上海市政工程设计研究总院（集团）有限公司</w:t>
      </w:r>
    </w:p>
    <w:p w14:paraId="3F739B00">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天津市城市规划设计研究总院有限公司</w:t>
      </w:r>
    </w:p>
    <w:p w14:paraId="2C359C45">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浙江省城乡规划设计研究院</w:t>
      </w:r>
    </w:p>
    <w:p w14:paraId="47D208C5">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四川省城乡建设研究院</w:t>
      </w:r>
    </w:p>
    <w:p w14:paraId="3A2ABABF">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河北省建筑科学研究院有限公司</w:t>
      </w:r>
    </w:p>
    <w:p w14:paraId="00D37FBC">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城市安全发展科技研究院（深圳）</w:t>
      </w:r>
    </w:p>
    <w:p w14:paraId="453B9015">
      <w:pPr>
        <w:pStyle w:val="56"/>
        <w:spacing w:line="360" w:lineRule="auto"/>
        <w:ind w:firstLine="2409" w:firstLineChars="1004"/>
        <w:rPr>
          <w:rFonts w:ascii="Times New Roman" w:hAnsi="Times New Roman" w:cs="Times New Roman"/>
          <w:color w:val="auto"/>
          <w:szCs w:val="21"/>
        </w:rPr>
      </w:pPr>
      <w:r>
        <w:rPr>
          <w:rFonts w:hint="eastAsia" w:ascii="Times New Roman" w:hAnsi="Times New Roman" w:cs="Times New Roman"/>
          <w:color w:val="auto"/>
          <w:szCs w:val="21"/>
        </w:rPr>
        <w:t>青岛市城市规划设计研究院</w:t>
      </w:r>
      <w:r>
        <w:rPr>
          <w:rFonts w:ascii="Times New Roman" w:hAnsi="Times New Roman" w:cs="Times New Roman"/>
          <w:color w:val="auto"/>
          <w:szCs w:val="21"/>
        </w:rPr>
        <w:br w:type="page"/>
      </w:r>
    </w:p>
    <w:p w14:paraId="7780F600">
      <w:pPr>
        <w:tabs>
          <w:tab w:val="right" w:leader="middleDot" w:pos="8400"/>
        </w:tabs>
        <w:spacing w:line="312" w:lineRule="auto"/>
        <w:ind w:firstLine="480" w:firstLineChars="200"/>
        <w:rPr>
          <w:rFonts w:ascii="Times New Roman" w:hAnsi="Times New Roman" w:cs="Times New Roman"/>
          <w:sz w:val="24"/>
        </w:rPr>
      </w:pPr>
    </w:p>
    <w:p w14:paraId="4AEF2995">
      <w:pPr>
        <w:tabs>
          <w:tab w:val="right" w:leader="middleDot" w:pos="8400"/>
        </w:tabs>
        <w:spacing w:line="312" w:lineRule="auto"/>
        <w:ind w:firstLine="480" w:firstLineChars="200"/>
        <w:rPr>
          <w:rFonts w:ascii="Times New Roman" w:hAnsi="Times New Roman" w:cs="Times New Roman"/>
          <w:sz w:val="24"/>
        </w:rPr>
      </w:pPr>
      <w:r>
        <w:rPr>
          <w:rFonts w:hint="eastAsia" w:ascii="Times New Roman" w:hAnsi="Times New Roman" w:cs="Times New Roman"/>
          <w:sz w:val="24"/>
        </w:rPr>
        <w:t xml:space="preserve">主要起草人：王 </w:t>
      </w:r>
      <w:r>
        <w:rPr>
          <w:rFonts w:ascii="Times New Roman" w:hAnsi="Times New Roman" w:cs="Times New Roman"/>
          <w:sz w:val="24"/>
        </w:rPr>
        <w:t xml:space="preserve"> </w:t>
      </w:r>
      <w:r>
        <w:rPr>
          <w:rFonts w:hint="eastAsia" w:ascii="Times New Roman" w:hAnsi="Times New Roman" w:cs="Times New Roman"/>
          <w:sz w:val="24"/>
        </w:rPr>
        <w:t xml:space="preserve">凯 </w:t>
      </w:r>
      <w:r>
        <w:rPr>
          <w:rFonts w:ascii="Times New Roman" w:hAnsi="Times New Roman" w:cs="Times New Roman"/>
          <w:sz w:val="24"/>
        </w:rPr>
        <w:t xml:space="preserve"> </w:t>
      </w:r>
      <w:r>
        <w:rPr>
          <w:rFonts w:hint="eastAsia" w:ascii="Times New Roman" w:hAnsi="Times New Roman" w:cs="Times New Roman"/>
          <w:sz w:val="24"/>
        </w:rPr>
        <w:t xml:space="preserve">郑德高 </w:t>
      </w:r>
      <w:r>
        <w:rPr>
          <w:rFonts w:ascii="Times New Roman" w:hAnsi="Times New Roman" w:cs="Times New Roman"/>
          <w:sz w:val="24"/>
        </w:rPr>
        <w:t xml:space="preserve"> </w:t>
      </w:r>
      <w:r>
        <w:rPr>
          <w:rFonts w:hint="eastAsia" w:ascii="Times New Roman" w:hAnsi="Times New Roman" w:cs="Times New Roman"/>
          <w:sz w:val="24"/>
        </w:rPr>
        <w:t>徐  辉  张永波  李  倩  范  渊  魏  维</w:t>
      </w:r>
    </w:p>
    <w:p w14:paraId="56B5EA65">
      <w:pPr>
        <w:tabs>
          <w:tab w:val="right" w:leader="middleDot" w:pos="8400"/>
        </w:tabs>
        <w:spacing w:line="312" w:lineRule="auto"/>
        <w:ind w:firstLine="1440" w:firstLineChars="600"/>
        <w:rPr>
          <w:rFonts w:ascii="Times New Roman" w:hAnsi="Times New Roman" w:cs="Times New Roman"/>
          <w:sz w:val="24"/>
        </w:rPr>
      </w:pPr>
      <w:r>
        <w:rPr>
          <w:rFonts w:hint="eastAsia" w:ascii="Times New Roman" w:hAnsi="Times New Roman" w:cs="Times New Roman"/>
          <w:sz w:val="24"/>
        </w:rPr>
        <w:t xml:space="preserve"> </w:t>
      </w:r>
      <w:r>
        <w:rPr>
          <w:rFonts w:ascii="Times New Roman" w:hAnsi="Times New Roman" w:cs="Times New Roman"/>
          <w:sz w:val="24"/>
        </w:rPr>
        <w:t xml:space="preserve"> </w:t>
      </w:r>
      <w:r>
        <w:rPr>
          <w:rFonts w:hint="eastAsia" w:ascii="Times New Roman" w:hAnsi="Times New Roman" w:cs="Times New Roman"/>
          <w:sz w:val="24"/>
        </w:rPr>
        <w:t xml:space="preserve"> 胡  晶  耿艳妍  王伊倜  焦怡雪  何凌华  王文静  徐  颖</w:t>
      </w:r>
    </w:p>
    <w:p w14:paraId="0226D214">
      <w:pPr>
        <w:tabs>
          <w:tab w:val="right" w:leader="middleDot" w:pos="8400"/>
        </w:tabs>
        <w:spacing w:line="312" w:lineRule="auto"/>
        <w:ind w:firstLine="1440" w:firstLineChars="600"/>
        <w:rPr>
          <w:rFonts w:ascii="Times New Roman" w:hAnsi="Times New Roman" w:cs="Times New Roman"/>
          <w:sz w:val="24"/>
        </w:rPr>
      </w:pPr>
      <w:r>
        <w:rPr>
          <w:rFonts w:hint="eastAsia" w:ascii="Times New Roman" w:hAnsi="Times New Roman" w:cs="Times New Roman"/>
          <w:sz w:val="24"/>
        </w:rPr>
        <w:t xml:space="preserve"> </w:t>
      </w:r>
      <w:r>
        <w:rPr>
          <w:rFonts w:ascii="Times New Roman" w:hAnsi="Times New Roman" w:cs="Times New Roman"/>
          <w:sz w:val="24"/>
        </w:rPr>
        <w:t xml:space="preserve">  </w:t>
      </w:r>
      <w:r>
        <w:rPr>
          <w:rFonts w:hint="eastAsia" w:ascii="Times New Roman" w:hAnsi="Times New Roman" w:cs="Times New Roman"/>
          <w:sz w:val="24"/>
        </w:rPr>
        <w:t>郭  汉  王  颖  李  昊  徐美静  许  阳  周博颖  张文忠</w:t>
      </w:r>
    </w:p>
    <w:p w14:paraId="2C085056">
      <w:pPr>
        <w:tabs>
          <w:tab w:val="right" w:leader="middleDot" w:pos="8400"/>
        </w:tabs>
        <w:spacing w:line="312" w:lineRule="auto"/>
        <w:ind w:firstLine="1440" w:firstLineChars="600"/>
        <w:rPr>
          <w:rFonts w:ascii="Times New Roman" w:hAnsi="Times New Roman" w:cs="Times New Roman"/>
          <w:sz w:val="24"/>
        </w:rPr>
      </w:pPr>
      <w:r>
        <w:rPr>
          <w:rFonts w:hint="eastAsia" w:ascii="Times New Roman" w:hAnsi="Times New Roman" w:cs="Times New Roman"/>
          <w:sz w:val="24"/>
        </w:rPr>
        <w:t xml:space="preserve"> </w:t>
      </w:r>
      <w:r>
        <w:rPr>
          <w:rFonts w:ascii="Times New Roman" w:hAnsi="Times New Roman" w:cs="Times New Roman"/>
          <w:sz w:val="24"/>
        </w:rPr>
        <w:t xml:space="preserve">  </w:t>
      </w:r>
      <w:r>
        <w:rPr>
          <w:rFonts w:hint="eastAsia" w:ascii="Times New Roman" w:hAnsi="Times New Roman" w:cs="Times New Roman"/>
          <w:sz w:val="24"/>
        </w:rPr>
        <w:t xml:space="preserve">王  冠  左文卿 </w:t>
      </w:r>
      <w:r>
        <w:rPr>
          <w:rFonts w:ascii="Times New Roman" w:hAnsi="Times New Roman" w:cs="Times New Roman"/>
          <w:sz w:val="24"/>
        </w:rPr>
        <w:t xml:space="preserve"> </w:t>
      </w:r>
      <w:r>
        <w:rPr>
          <w:rFonts w:hint="eastAsia" w:ascii="Times New Roman" w:hAnsi="Times New Roman" w:cs="Times New Roman"/>
          <w:sz w:val="24"/>
        </w:rPr>
        <w:t>郑  鉴  张晓刚  陶  镕  于一凡  李苗裔</w:t>
      </w:r>
    </w:p>
    <w:p w14:paraId="18B1079E">
      <w:pPr>
        <w:tabs>
          <w:tab w:val="right" w:leader="middleDot" w:pos="8400"/>
        </w:tabs>
        <w:spacing w:line="312" w:lineRule="auto"/>
        <w:ind w:firstLine="1440" w:firstLineChars="600"/>
        <w:rPr>
          <w:rFonts w:ascii="Times New Roman" w:hAnsi="Times New Roman" w:cs="Times New Roman"/>
          <w:sz w:val="24"/>
        </w:rPr>
      </w:pPr>
      <w:r>
        <w:rPr>
          <w:rFonts w:ascii="Times New Roman" w:hAnsi="Times New Roman" w:cs="Times New Roman"/>
          <w:sz w:val="24"/>
        </w:rPr>
        <w:t xml:space="preserve">   </w:t>
      </w:r>
      <w:r>
        <w:rPr>
          <w:rFonts w:hint="eastAsia" w:ascii="Times New Roman" w:hAnsi="Times New Roman" w:cs="Times New Roman"/>
          <w:sz w:val="24"/>
        </w:rPr>
        <w:t xml:space="preserve">刘继华  陈  卓 </w:t>
      </w:r>
      <w:r>
        <w:rPr>
          <w:rFonts w:ascii="Times New Roman" w:hAnsi="Times New Roman" w:cs="Times New Roman"/>
          <w:sz w:val="24"/>
        </w:rPr>
        <w:t xml:space="preserve"> </w:t>
      </w:r>
      <w:r>
        <w:rPr>
          <w:rFonts w:hint="eastAsia" w:ascii="Times New Roman" w:hAnsi="Times New Roman" w:cs="Times New Roman"/>
          <w:sz w:val="24"/>
        </w:rPr>
        <w:t xml:space="preserve">刘  辉  吕永鹏  沈 </w:t>
      </w:r>
      <w:r>
        <w:rPr>
          <w:rFonts w:ascii="Times New Roman" w:hAnsi="Times New Roman" w:cs="Times New Roman"/>
          <w:sz w:val="24"/>
        </w:rPr>
        <w:t xml:space="preserve"> </w:t>
      </w:r>
      <w:r>
        <w:rPr>
          <w:rFonts w:hint="eastAsia" w:ascii="Times New Roman" w:hAnsi="Times New Roman" w:cs="Times New Roman"/>
          <w:sz w:val="24"/>
        </w:rPr>
        <w:t xml:space="preserve">锐 </w:t>
      </w:r>
      <w:r>
        <w:rPr>
          <w:rFonts w:ascii="Times New Roman" w:hAnsi="Times New Roman" w:cs="Times New Roman"/>
          <w:sz w:val="24"/>
        </w:rPr>
        <w:t xml:space="preserve"> </w:t>
      </w:r>
      <w:r>
        <w:rPr>
          <w:rFonts w:hint="eastAsia" w:ascii="Times New Roman" w:hAnsi="Times New Roman" w:cs="Times New Roman"/>
          <w:sz w:val="24"/>
        </w:rPr>
        <w:t>荆  蕾  徐硕含</w:t>
      </w:r>
    </w:p>
    <w:p w14:paraId="38349B32">
      <w:pPr>
        <w:tabs>
          <w:tab w:val="right" w:leader="middleDot" w:pos="8400"/>
        </w:tabs>
        <w:spacing w:line="312" w:lineRule="auto"/>
        <w:ind w:firstLine="1440" w:firstLineChars="600"/>
        <w:rPr>
          <w:rFonts w:ascii="Times New Roman" w:hAnsi="Times New Roman" w:cs="Times New Roman"/>
          <w:sz w:val="24"/>
        </w:rPr>
        <w:sectPr>
          <w:footerReference r:id="rId5" w:type="default"/>
          <w:pgSz w:w="11906" w:h="16838"/>
          <w:pgMar w:top="1440" w:right="1800" w:bottom="1440" w:left="1800" w:header="851" w:footer="992" w:gutter="0"/>
          <w:pgNumType w:fmt="upperRoman" w:start="1"/>
          <w:cols w:space="720" w:num="1"/>
          <w:docGrid w:type="lines" w:linePitch="312" w:charSpace="0"/>
        </w:sectPr>
      </w:pPr>
      <w:r>
        <w:rPr>
          <w:rFonts w:hint="eastAsia" w:ascii="Times New Roman" w:hAnsi="Times New Roman" w:cs="Times New Roman"/>
          <w:sz w:val="24"/>
        </w:rPr>
        <w:t xml:space="preserve">  </w:t>
      </w:r>
      <w:r>
        <w:rPr>
          <w:rFonts w:ascii="Times New Roman" w:hAnsi="Times New Roman" w:cs="Times New Roman"/>
          <w:sz w:val="24"/>
        </w:rPr>
        <w:t xml:space="preserve"> </w:t>
      </w:r>
      <w:r>
        <w:rPr>
          <w:rFonts w:hint="eastAsia" w:ascii="Times New Roman" w:hAnsi="Times New Roman" w:cs="Times New Roman"/>
          <w:sz w:val="24"/>
        </w:rPr>
        <w:t xml:space="preserve">骆  杰 </w:t>
      </w:r>
      <w:r>
        <w:rPr>
          <w:rFonts w:ascii="Times New Roman" w:hAnsi="Times New Roman" w:cs="Times New Roman"/>
          <w:sz w:val="24"/>
        </w:rPr>
        <w:t xml:space="preserve"> </w:t>
      </w:r>
      <w:r>
        <w:rPr>
          <w:rFonts w:hint="eastAsia" w:ascii="Times New Roman" w:hAnsi="Times New Roman" w:cs="Times New Roman"/>
          <w:sz w:val="24"/>
        </w:rPr>
        <w:t xml:space="preserve">梁耀哲  刘宇舟 </w:t>
      </w:r>
      <w:r>
        <w:rPr>
          <w:rFonts w:ascii="Times New Roman" w:hAnsi="Times New Roman" w:cs="Times New Roman"/>
          <w:sz w:val="24"/>
        </w:rPr>
        <w:t xml:space="preserve"> </w:t>
      </w:r>
      <w:r>
        <w:rPr>
          <w:rFonts w:hint="eastAsia" w:ascii="Times New Roman" w:hAnsi="Times New Roman" w:cs="Times New Roman"/>
          <w:sz w:val="24"/>
        </w:rPr>
        <w:t>陈天一</w:t>
      </w:r>
    </w:p>
    <w:p w14:paraId="1D47AD3E">
      <w:pPr>
        <w:pStyle w:val="24"/>
        <w:spacing w:line="360" w:lineRule="auto"/>
        <w:jc w:val="center"/>
        <w:rPr>
          <w:rFonts w:ascii="Times New Roman" w:hAnsi="Times New Roman" w:cs="Times New Roman"/>
          <w:b/>
          <w:bCs/>
          <w:sz w:val="30"/>
          <w:szCs w:val="24"/>
        </w:rPr>
      </w:pPr>
      <w:r>
        <w:rPr>
          <w:rFonts w:ascii="Times New Roman" w:hAnsi="Times New Roman" w:cs="Times New Roman"/>
          <w:b/>
          <w:bCs/>
          <w:sz w:val="30"/>
          <w:szCs w:val="24"/>
        </w:rPr>
        <w:t>目  次</w:t>
      </w:r>
    </w:p>
    <w:p w14:paraId="1E7FCF17">
      <w:pPr>
        <w:pStyle w:val="20"/>
        <w:tabs>
          <w:tab w:val="right" w:leader="dot" w:pos="8296"/>
        </w:tabs>
        <w:spacing w:line="360" w:lineRule="auto"/>
        <w:rPr>
          <w:rFonts w:asciiTheme="minorHAnsi" w:hAnsiTheme="minorHAnsi" w:eastAsiaTheme="minorEastAsia" w:cstheme="minorBidi"/>
          <w:sz w:val="24"/>
          <w:szCs w:val="28"/>
        </w:rPr>
      </w:pPr>
      <w:r>
        <w:rPr>
          <w:rFonts w:ascii="Times New Roman" w:hAnsi="Times New Roman" w:cs="Times New Roman" w:eastAsiaTheme="minorEastAsia"/>
          <w:sz w:val="32"/>
          <w:szCs w:val="32"/>
        </w:rPr>
        <w:fldChar w:fldCharType="begin"/>
      </w:r>
      <w:r>
        <w:rPr>
          <w:rFonts w:ascii="Times New Roman" w:hAnsi="Times New Roman" w:cs="Times New Roman" w:eastAsiaTheme="minorEastAsia"/>
          <w:sz w:val="32"/>
          <w:szCs w:val="32"/>
        </w:rPr>
        <w:instrText xml:space="preserve"> TOC \o "1-2" \h \z \u </w:instrText>
      </w:r>
      <w:r>
        <w:rPr>
          <w:rFonts w:ascii="Times New Roman" w:hAnsi="Times New Roman" w:cs="Times New Roman" w:eastAsiaTheme="minorEastAsia"/>
          <w:sz w:val="32"/>
          <w:szCs w:val="32"/>
        </w:rPr>
        <w:fldChar w:fldCharType="separate"/>
      </w:r>
      <w:r>
        <w:fldChar w:fldCharType="begin"/>
      </w:r>
      <w:r>
        <w:instrText xml:space="preserve"> HYPERLINK \l "_Toc221291493" </w:instrText>
      </w:r>
      <w:r>
        <w:fldChar w:fldCharType="separate"/>
      </w:r>
      <w:r>
        <w:rPr>
          <w:rFonts w:ascii="Times New Roman" w:hAnsi="Times New Roman" w:cs="Times New Roman" w:eastAsiaTheme="minorEastAsia"/>
          <w:sz w:val="24"/>
        </w:rPr>
        <w:t>1 总则</w:t>
      </w:r>
      <w:r>
        <w:rPr>
          <w:rFonts w:ascii="Times New Roman" w:hAnsi="Times New Roman" w:cs="Times New Roman" w:eastAsiaTheme="minorEastAsia"/>
          <w:sz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_Toc221291493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1</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63C3B6E3">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"_Toc221291494" </w:instrText>
      </w:r>
      <w:r>
        <w:fldChar w:fldCharType="separate"/>
      </w:r>
      <w:r>
        <w:rPr>
          <w:rFonts w:ascii="Times New Roman" w:hAnsi="Times New Roman" w:cs="Times New Roman" w:eastAsiaTheme="minorEastAsia"/>
          <w:sz w:val="24"/>
        </w:rPr>
        <w:t>2</w:t>
      </w:r>
      <w:r>
        <w:rPr>
          <w:rStyle w:val="36"/>
          <w:rFonts w:ascii="宋体" w:hAnsi="宋体" w:cs="Times New Roman"/>
          <w:kern w:val="44"/>
          <w:sz w:val="24"/>
          <w:szCs w:val="24"/>
        </w:rPr>
        <w:t xml:space="preserve"> 术语</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_Toc221291494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2</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30BD6655">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"_Toc221291495" </w:instrText>
      </w:r>
      <w:r>
        <w:fldChar w:fldCharType="separate"/>
      </w:r>
      <w:r>
        <w:rPr>
          <w:rFonts w:ascii="Times New Roman" w:hAnsi="Times New Roman" w:cs="Times New Roman" w:eastAsiaTheme="minorEastAsia"/>
          <w:sz w:val="24"/>
        </w:rPr>
        <w:t>3</w:t>
      </w:r>
      <w:r>
        <w:rPr>
          <w:rStyle w:val="36"/>
          <w:rFonts w:ascii="宋体" w:hAnsi="宋体" w:cs="Times New Roman"/>
          <w:kern w:val="44"/>
          <w:sz w:val="24"/>
          <w:szCs w:val="24"/>
        </w:rPr>
        <w:t xml:space="preserve"> 基本规定</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_Toc221291495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3</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004974A0">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"_Toc221291500" </w:instrText>
      </w:r>
      <w:r>
        <w:fldChar w:fldCharType="separate"/>
      </w:r>
      <w:r>
        <w:rPr>
          <w:rFonts w:ascii="Times New Roman" w:hAnsi="Times New Roman" w:cs="Times New Roman" w:eastAsiaTheme="minorEastAsia"/>
          <w:sz w:val="24"/>
        </w:rPr>
        <w:t>4</w:t>
      </w:r>
      <w:r>
        <w:rPr>
          <w:rStyle w:val="36"/>
          <w:rFonts w:ascii="宋体" w:hAnsi="宋体" w:cs="Times New Roman"/>
          <w:kern w:val="44"/>
          <w:sz w:val="24"/>
          <w:szCs w:val="24"/>
        </w:rPr>
        <w:t xml:space="preserve"> 指标体系</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_Toc221291500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6</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305FFA8E">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"_Toc221291501" </w:instrText>
      </w:r>
      <w:r>
        <w:fldChar w:fldCharType="separate"/>
      </w:r>
      <w:r>
        <w:rPr>
          <w:rFonts w:ascii="Times New Roman" w:hAnsi="Times New Roman" w:cs="Times New Roman" w:eastAsiaTheme="minorEastAsia"/>
          <w:sz w:val="24"/>
        </w:rPr>
        <w:t>5</w:t>
      </w:r>
      <w:r>
        <w:rPr>
          <w:rStyle w:val="36"/>
          <w:rFonts w:ascii="宋体" w:hAnsi="宋体" w:cs="Times New Roman"/>
          <w:kern w:val="44"/>
          <w:sz w:val="24"/>
          <w:szCs w:val="24"/>
        </w:rPr>
        <w:t xml:space="preserve"> 数据采集</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_Toc221291501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8</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13079B4C">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"_Toc221291505" </w:instrText>
      </w:r>
      <w:r>
        <w:fldChar w:fldCharType="separate"/>
      </w:r>
      <w:r>
        <w:rPr>
          <w:rFonts w:ascii="Times New Roman" w:hAnsi="Times New Roman" w:cs="Times New Roman" w:eastAsiaTheme="minorEastAsia"/>
          <w:sz w:val="24"/>
        </w:rPr>
        <w:t>6</w:t>
      </w:r>
      <w:r>
        <w:rPr>
          <w:rStyle w:val="36"/>
          <w:rFonts w:ascii="宋体" w:hAnsi="宋体" w:cs="Times New Roman"/>
          <w:kern w:val="44"/>
          <w:sz w:val="24"/>
          <w:szCs w:val="24"/>
        </w:rPr>
        <w:t xml:space="preserve"> 分析诊断</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_Toc221291505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11</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3E7C5537">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"_Toc221291510" </w:instrText>
      </w:r>
      <w:r>
        <w:fldChar w:fldCharType="separate"/>
      </w:r>
      <w:r>
        <w:rPr>
          <w:rFonts w:ascii="Times New Roman" w:hAnsi="Times New Roman" w:cs="Times New Roman" w:eastAsiaTheme="minorEastAsia"/>
          <w:sz w:val="24"/>
        </w:rPr>
        <w:t>7</w:t>
      </w:r>
      <w:r>
        <w:rPr>
          <w:rStyle w:val="36"/>
          <w:rFonts w:ascii="宋体" w:hAnsi="宋体" w:cs="Times New Roman"/>
          <w:kern w:val="44"/>
          <w:sz w:val="24"/>
          <w:szCs w:val="24"/>
        </w:rPr>
        <w:t xml:space="preserve"> 数据库与信息平台</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_Toc221291510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13</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29483EA1">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"_Toc221291513" </w:instrText>
      </w:r>
      <w:r>
        <w:fldChar w:fldCharType="separate"/>
      </w:r>
      <w:r>
        <w:rPr>
          <w:rStyle w:val="36"/>
          <w:rFonts w:ascii="宋体" w:hAnsi="宋体" w:cs="Times New Roman"/>
          <w:kern w:val="0"/>
          <w:sz w:val="24"/>
          <w:szCs w:val="24"/>
        </w:rPr>
        <w:t>附录</w:t>
      </w:r>
      <w:r>
        <w:rPr>
          <w:rFonts w:ascii="Times New Roman" w:hAnsi="Times New Roman" w:cs="Times New Roman" w:eastAsiaTheme="minorEastAsia"/>
          <w:sz w:val="24"/>
        </w:rPr>
        <w:t>A</w:t>
      </w:r>
      <w:r>
        <w:rPr>
          <w:rStyle w:val="36"/>
          <w:rFonts w:ascii="宋体" w:hAnsi="宋体" w:cs="Times New Roman"/>
          <w:kern w:val="0"/>
          <w:sz w:val="24"/>
          <w:szCs w:val="24"/>
        </w:rPr>
        <w:t xml:space="preserve"> 城市体检指标汇总表示例</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_Toc221291513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15</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5A93A11F">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"_Toc221291514" </w:instrText>
      </w:r>
      <w:r>
        <w:fldChar w:fldCharType="separate"/>
      </w:r>
      <w:r>
        <w:rPr>
          <w:rStyle w:val="36"/>
          <w:rFonts w:ascii="宋体" w:hAnsi="宋体" w:cs="Times New Roman"/>
          <w:kern w:val="0"/>
          <w:sz w:val="24"/>
          <w:szCs w:val="24"/>
        </w:rPr>
        <w:t>附录</w:t>
      </w:r>
      <w:r>
        <w:rPr>
          <w:rFonts w:ascii="Times New Roman" w:hAnsi="Times New Roman" w:cs="Times New Roman" w:eastAsiaTheme="minorEastAsia"/>
          <w:sz w:val="24"/>
        </w:rPr>
        <w:t>B</w:t>
      </w:r>
      <w:r>
        <w:rPr>
          <w:rStyle w:val="36"/>
          <w:rFonts w:ascii="宋体" w:hAnsi="宋体" w:cs="Times New Roman"/>
          <w:kern w:val="0"/>
          <w:sz w:val="24"/>
          <w:szCs w:val="24"/>
        </w:rPr>
        <w:t xml:space="preserve"> 各维度问题清单</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_Toc221291514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16</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38310A3A">
      <w:pPr>
        <w:pStyle w:val="20"/>
        <w:tabs>
          <w:tab w:val="right" w:leader="dot" w:pos="8296"/>
        </w:tabs>
        <w:spacing w:line="360" w:lineRule="auto"/>
        <w:rPr>
          <w:rFonts w:asciiTheme="minorHAnsi" w:hAnsiTheme="minorHAnsi" w:eastAsiaTheme="minorEastAsia" w:cstheme="minorBidi"/>
          <w:sz w:val="24"/>
          <w:szCs w:val="28"/>
        </w:rPr>
      </w:pPr>
      <w:r>
        <w:fldChar w:fldCharType="begin"/>
      </w:r>
      <w:r>
        <w:instrText xml:space="preserve"> HYPERLINK \l "_Toc221291515" </w:instrText>
      </w:r>
      <w:r>
        <w:fldChar w:fldCharType="separate"/>
      </w:r>
      <w:r>
        <w:rPr>
          <w:rStyle w:val="36"/>
          <w:rFonts w:ascii="宋体" w:hAnsi="宋体" w:cs="Times New Roman"/>
          <w:kern w:val="0"/>
          <w:sz w:val="24"/>
          <w:szCs w:val="24"/>
        </w:rPr>
        <w:t>附录</w:t>
      </w:r>
      <w:r>
        <w:rPr>
          <w:rFonts w:ascii="Times New Roman" w:hAnsi="Times New Roman" w:cs="Times New Roman" w:eastAsiaTheme="minorEastAsia"/>
          <w:sz w:val="24"/>
        </w:rPr>
        <w:t xml:space="preserve">C </w:t>
      </w:r>
      <w:r>
        <w:rPr>
          <w:rStyle w:val="36"/>
          <w:rFonts w:ascii="宋体" w:hAnsi="宋体" w:cs="Times New Roman"/>
          <w:kern w:val="0"/>
          <w:sz w:val="24"/>
          <w:szCs w:val="24"/>
        </w:rPr>
        <w:t>各维度整治建议清单</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_Toc221291515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17</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18E652FE">
      <w:pPr>
        <w:pStyle w:val="23"/>
        <w:tabs>
          <w:tab w:val="right" w:leader="dot" w:pos="8296"/>
        </w:tabs>
        <w:spacing w:line="360" w:lineRule="auto"/>
        <w:ind w:left="0" w:leftChars="0"/>
        <w:rPr>
          <w:rFonts w:asciiTheme="minorHAnsi" w:hAnsiTheme="minorHAnsi" w:eastAsiaTheme="minorEastAsia" w:cstheme="minorBidi"/>
          <w:sz w:val="24"/>
          <w:szCs w:val="28"/>
        </w:rPr>
      </w:pPr>
      <w:r>
        <w:fldChar w:fldCharType="begin"/>
      </w:r>
      <w:r>
        <w:instrText xml:space="preserve"> HYPERLINK \l "_Toc221291516" </w:instrText>
      </w:r>
      <w:r>
        <w:fldChar w:fldCharType="separate"/>
      </w:r>
      <w:r>
        <w:rPr>
          <w:rStyle w:val="36"/>
          <w:rFonts w:ascii="宋体" w:hAnsi="宋体" w:cs="Times New Roman"/>
          <w:kern w:val="0"/>
          <w:sz w:val="24"/>
          <w:szCs w:val="24"/>
        </w:rPr>
        <w:t>本标准用词说明</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_Toc221291516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19</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29F612C9">
      <w:pPr>
        <w:pStyle w:val="23"/>
        <w:tabs>
          <w:tab w:val="right" w:leader="dot" w:pos="8296"/>
        </w:tabs>
        <w:spacing w:line="360" w:lineRule="auto"/>
        <w:ind w:left="0" w:leftChars="0"/>
        <w:rPr>
          <w:rFonts w:asciiTheme="minorHAnsi" w:hAnsiTheme="minorHAnsi" w:eastAsiaTheme="minorEastAsia" w:cstheme="minorBidi"/>
          <w:sz w:val="24"/>
          <w:szCs w:val="28"/>
        </w:rPr>
      </w:pPr>
      <w:r>
        <w:fldChar w:fldCharType="begin"/>
      </w:r>
      <w:r>
        <w:instrText xml:space="preserve"> HYPERLINK \l "_Toc221291517" </w:instrText>
      </w:r>
      <w:r>
        <w:fldChar w:fldCharType="separate"/>
      </w:r>
      <w:r>
        <w:rPr>
          <w:rStyle w:val="36"/>
          <w:rFonts w:ascii="宋体" w:hAnsi="宋体" w:cs="Times New Roman"/>
          <w:kern w:val="0"/>
          <w:sz w:val="24"/>
          <w:szCs w:val="24"/>
        </w:rPr>
        <w:t>引用标准名录</w:t>
      </w:r>
      <w:r>
        <w:rPr>
          <w:sz w:val="24"/>
          <w:szCs w:val="24"/>
        </w:rPr>
        <w:tab/>
      </w:r>
      <w:r>
        <w:rPr>
          <w:rFonts w:ascii="Times New Roman" w:hAnsi="Times New Roman" w:cs="Times New Roman" w:eastAsiaTheme="minorEastAsia"/>
          <w:sz w:val="24"/>
        </w:rPr>
        <w:fldChar w:fldCharType="begin"/>
      </w:r>
      <w:r>
        <w:rPr>
          <w:rFonts w:ascii="Times New Roman" w:hAnsi="Times New Roman" w:cs="Times New Roman" w:eastAsiaTheme="minorEastAsia"/>
          <w:sz w:val="24"/>
        </w:rPr>
        <w:instrText xml:space="preserve"> PAGEREF _Toc221291517 \h </w:instrText>
      </w:r>
      <w:r>
        <w:rPr>
          <w:rFonts w:ascii="Times New Roman" w:hAnsi="Times New Roman" w:cs="Times New Roman" w:eastAsiaTheme="minorEastAsia"/>
          <w:sz w:val="24"/>
        </w:rPr>
        <w:fldChar w:fldCharType="separate"/>
      </w:r>
      <w:r>
        <w:rPr>
          <w:rFonts w:ascii="Times New Roman" w:hAnsi="Times New Roman" w:cs="Times New Roman" w:eastAsiaTheme="minorEastAsia"/>
          <w:sz w:val="24"/>
        </w:rPr>
        <w:t>20</w:t>
      </w:r>
      <w:r>
        <w:rPr>
          <w:rFonts w:ascii="Times New Roman" w:hAnsi="Times New Roman" w:cs="Times New Roman" w:eastAsiaTheme="minorEastAsia"/>
          <w:sz w:val="24"/>
        </w:rPr>
        <w:fldChar w:fldCharType="end"/>
      </w:r>
      <w:r>
        <w:rPr>
          <w:rFonts w:ascii="Times New Roman" w:hAnsi="Times New Roman" w:cs="Times New Roman" w:eastAsiaTheme="minorEastAsia"/>
          <w:sz w:val="24"/>
        </w:rPr>
        <w:fldChar w:fldCharType="end"/>
      </w:r>
    </w:p>
    <w:p w14:paraId="12D0693C">
      <w:pPr>
        <w:spacing w:after="156" w:afterLines="50" w:line="360" w:lineRule="auto"/>
        <w:rPr>
          <w:rStyle w:val="30"/>
          <w:rFonts w:ascii="Times New Roman" w:hAnsi="Times New Roman" w:cs="Times New Roman"/>
          <w:sz w:val="30"/>
          <w:szCs w:val="30"/>
        </w:rPr>
      </w:pPr>
      <w:r>
        <w:rPr>
          <w:rFonts w:ascii="Times New Roman" w:hAnsi="Times New Roman" w:cs="Times New Roman" w:eastAsiaTheme="minorEastAsia"/>
          <w:sz w:val="32"/>
          <w:szCs w:val="32"/>
        </w:rPr>
        <w:fldChar w:fldCharType="end"/>
      </w:r>
    </w:p>
    <w:p w14:paraId="1155BC1A">
      <w:pPr>
        <w:spacing w:after="156" w:afterLines="50" w:line="360" w:lineRule="auto"/>
        <w:rPr>
          <w:rStyle w:val="30"/>
          <w:rFonts w:ascii="Times New Roman" w:hAnsi="Times New Roman" w:cs="Times New Roman"/>
          <w:sz w:val="30"/>
          <w:szCs w:val="30"/>
        </w:rPr>
      </w:pPr>
    </w:p>
    <w:p w14:paraId="31F8CC54">
      <w:pPr>
        <w:spacing w:after="312" w:afterLines="100"/>
        <w:rPr>
          <w:rFonts w:ascii="Times New Roman" w:hAnsi="Times New Roman" w:cs="Times New Roman"/>
          <w:b/>
          <w:bCs/>
          <w:sz w:val="30"/>
        </w:rPr>
      </w:pPr>
      <w:r>
        <w:rPr>
          <w:rStyle w:val="30"/>
          <w:rFonts w:ascii="Times New Roman" w:hAnsi="Times New Roman" w:cs="Times New Roman"/>
          <w:sz w:val="30"/>
          <w:szCs w:val="30"/>
        </w:rPr>
        <w:br w:type="page"/>
      </w:r>
    </w:p>
    <w:p w14:paraId="606AD4EE">
      <w:pPr>
        <w:spacing w:after="312" w:afterLines="100"/>
        <w:jc w:val="center"/>
        <w:rPr>
          <w:rFonts w:ascii="Times New Roman" w:hAnsi="Times New Roman" w:cs="Times New Roman"/>
          <w:b/>
          <w:bCs/>
          <w:sz w:val="30"/>
        </w:rPr>
      </w:pPr>
    </w:p>
    <w:p w14:paraId="00BFFDED">
      <w:pPr>
        <w:spacing w:after="312" w:afterLines="100"/>
        <w:jc w:val="center"/>
        <w:rPr>
          <w:rFonts w:ascii="Times New Roman" w:hAnsi="Times New Roman" w:cs="Times New Roman"/>
          <w:b/>
          <w:bCs/>
          <w:sz w:val="30"/>
        </w:rPr>
      </w:pPr>
      <w:r>
        <w:rPr>
          <w:rFonts w:ascii="Times New Roman" w:hAnsi="Times New Roman" w:cs="Times New Roman"/>
          <w:b/>
          <w:bCs/>
          <w:sz w:val="30"/>
        </w:rPr>
        <w:t>Contents</w:t>
      </w:r>
    </w:p>
    <w:p w14:paraId="4878E489">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1  General Provisions</w:t>
      </w:r>
      <w:r>
        <w:rPr>
          <w:rFonts w:ascii="Times New Roman" w:hAnsi="Times New Roman" w:cs="Times New Roman" w:eastAsiaTheme="minorEastAsia"/>
          <w:sz w:val="24"/>
        </w:rPr>
        <w:tab/>
      </w:r>
      <w:r>
        <w:rPr>
          <w:rFonts w:ascii="Times New Roman" w:hAnsi="Times New Roman" w:cs="Times New Roman" w:eastAsiaTheme="minorEastAsia"/>
          <w:sz w:val="24"/>
        </w:rPr>
        <w:t>1</w:t>
      </w:r>
    </w:p>
    <w:p w14:paraId="0BE46D90">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2  Terms</w:t>
      </w:r>
      <w:r>
        <w:rPr>
          <w:rFonts w:ascii="Times New Roman" w:hAnsi="Times New Roman" w:cs="Times New Roman" w:eastAsiaTheme="minorEastAsia"/>
          <w:sz w:val="24"/>
        </w:rPr>
        <w:tab/>
      </w:r>
      <w:r>
        <w:rPr>
          <w:rFonts w:ascii="Times New Roman" w:hAnsi="Times New Roman" w:cs="Times New Roman" w:eastAsiaTheme="minorEastAsia"/>
          <w:sz w:val="24"/>
        </w:rPr>
        <w:t>2</w:t>
      </w:r>
    </w:p>
    <w:p w14:paraId="0F23720A">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3  Basic Requirements</w:t>
      </w:r>
      <w:r>
        <w:rPr>
          <w:rFonts w:ascii="Times New Roman" w:hAnsi="Times New Roman" w:cs="Times New Roman" w:eastAsiaTheme="minorEastAsia"/>
          <w:sz w:val="24"/>
        </w:rPr>
        <w:tab/>
      </w:r>
      <w:r>
        <w:rPr>
          <w:rFonts w:ascii="Times New Roman" w:hAnsi="Times New Roman" w:cs="Times New Roman" w:eastAsiaTheme="minorEastAsia"/>
          <w:sz w:val="24"/>
        </w:rPr>
        <w:t>3</w:t>
      </w:r>
    </w:p>
    <w:p w14:paraId="1B5B8573">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4  Indicator System</w:t>
      </w:r>
      <w:r>
        <w:rPr>
          <w:rFonts w:ascii="Times New Roman" w:hAnsi="Times New Roman" w:cs="Times New Roman" w:eastAsiaTheme="minorEastAsia"/>
          <w:sz w:val="24"/>
        </w:rPr>
        <w:tab/>
      </w:r>
      <w:r>
        <w:rPr>
          <w:rFonts w:ascii="Times New Roman" w:hAnsi="Times New Roman" w:cs="Times New Roman" w:eastAsiaTheme="minorEastAsia"/>
          <w:sz w:val="24"/>
        </w:rPr>
        <w:t>6</w:t>
      </w:r>
    </w:p>
    <w:p w14:paraId="0D3470CA">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5  Data Collection</w:t>
      </w:r>
      <w:r>
        <w:rPr>
          <w:rFonts w:ascii="Times New Roman" w:hAnsi="Times New Roman" w:cs="Times New Roman" w:eastAsiaTheme="minorEastAsia"/>
          <w:sz w:val="24"/>
        </w:rPr>
        <w:tab/>
      </w:r>
      <w:r>
        <w:rPr>
          <w:rFonts w:ascii="Times New Roman" w:hAnsi="Times New Roman" w:cs="Times New Roman" w:eastAsiaTheme="minorEastAsia"/>
          <w:sz w:val="24"/>
        </w:rPr>
        <w:t>8</w:t>
      </w:r>
    </w:p>
    <w:p w14:paraId="51BAF1C8">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 xml:space="preserve">6  Analysis and Diagnosis </w:t>
      </w:r>
      <w:r>
        <w:rPr>
          <w:rFonts w:ascii="Times New Roman" w:hAnsi="Times New Roman" w:cs="Times New Roman" w:eastAsiaTheme="minorEastAsia"/>
          <w:sz w:val="24"/>
        </w:rPr>
        <w:tab/>
      </w:r>
      <w:r>
        <w:rPr>
          <w:rFonts w:ascii="Times New Roman" w:hAnsi="Times New Roman" w:cs="Times New Roman" w:eastAsiaTheme="minorEastAsia"/>
          <w:sz w:val="24"/>
        </w:rPr>
        <w:t>1</w:t>
      </w:r>
      <w:r>
        <w:rPr>
          <w:rFonts w:hint="eastAsia" w:ascii="Times New Roman" w:hAnsi="Times New Roman" w:cs="Times New Roman" w:eastAsiaTheme="minorEastAsia"/>
          <w:sz w:val="24"/>
        </w:rPr>
        <w:t>1</w:t>
      </w:r>
    </w:p>
    <w:p w14:paraId="36761AB8">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7  Database and Information Platform</w:t>
      </w:r>
      <w:r>
        <w:rPr>
          <w:rFonts w:ascii="Times New Roman" w:hAnsi="Times New Roman" w:cs="Times New Roman" w:eastAsiaTheme="minorEastAsia"/>
          <w:sz w:val="24"/>
        </w:rPr>
        <w:tab/>
      </w:r>
      <w:r>
        <w:rPr>
          <w:rFonts w:ascii="Times New Roman" w:hAnsi="Times New Roman" w:cs="Times New Roman" w:eastAsiaTheme="minorEastAsia"/>
          <w:sz w:val="24"/>
        </w:rPr>
        <w:t>1</w:t>
      </w:r>
      <w:r>
        <w:rPr>
          <w:rFonts w:hint="eastAsia" w:ascii="Times New Roman" w:hAnsi="Times New Roman" w:cs="Times New Roman" w:eastAsiaTheme="minorEastAsia"/>
          <w:sz w:val="24"/>
        </w:rPr>
        <w:t>3</w:t>
      </w:r>
    </w:p>
    <w:p w14:paraId="6FA70BDB">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 xml:space="preserve">Appendix A  Example of </w:t>
      </w:r>
      <w:r>
        <w:rPr>
          <w:rFonts w:hint="eastAsia" w:ascii="Times New Roman" w:hAnsi="Times New Roman" w:cs="Times New Roman" w:eastAsiaTheme="minorEastAsia"/>
          <w:sz w:val="24"/>
        </w:rPr>
        <w:t>Urban Health Check</w:t>
      </w:r>
      <w:r>
        <w:rPr>
          <w:rFonts w:ascii="Times New Roman" w:hAnsi="Times New Roman" w:cs="Times New Roman" w:eastAsiaTheme="minorEastAsia"/>
          <w:sz w:val="24"/>
        </w:rPr>
        <w:t xml:space="preserve"> Indicators</w:t>
      </w:r>
      <w:r>
        <w:rPr>
          <w:rFonts w:ascii="Times New Roman" w:hAnsi="Times New Roman" w:cs="Times New Roman" w:eastAsiaTheme="minorEastAsia"/>
          <w:sz w:val="24"/>
        </w:rPr>
        <w:tab/>
      </w:r>
      <w:r>
        <w:rPr>
          <w:rFonts w:ascii="Times New Roman" w:hAnsi="Times New Roman" w:cs="Times New Roman" w:eastAsiaTheme="minorEastAsia"/>
          <w:sz w:val="24"/>
        </w:rPr>
        <w:t>1</w:t>
      </w:r>
      <w:r>
        <w:rPr>
          <w:rFonts w:hint="eastAsia" w:ascii="Times New Roman" w:hAnsi="Times New Roman" w:cs="Times New Roman" w:eastAsiaTheme="minorEastAsia"/>
          <w:sz w:val="24"/>
        </w:rPr>
        <w:t>5</w:t>
      </w:r>
    </w:p>
    <w:p w14:paraId="7A455ABD">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 xml:space="preserve">Appendix B  </w:t>
      </w:r>
      <w:r>
        <w:rPr>
          <w:rFonts w:hint="eastAsia" w:ascii="Times New Roman" w:hAnsi="Times New Roman" w:cs="Times New Roman" w:eastAsiaTheme="minorEastAsia"/>
          <w:sz w:val="24"/>
        </w:rPr>
        <w:t>Checklist of Identified Issues by Dimension</w:t>
      </w:r>
      <w:r>
        <w:rPr>
          <w:rFonts w:ascii="Times New Roman" w:hAnsi="Times New Roman" w:cs="Times New Roman" w:eastAsiaTheme="minorEastAsia"/>
          <w:sz w:val="24"/>
        </w:rPr>
        <w:t xml:space="preserve"> </w:t>
      </w:r>
      <w:r>
        <w:rPr>
          <w:rFonts w:ascii="Times New Roman" w:hAnsi="Times New Roman" w:cs="Times New Roman" w:eastAsiaTheme="minorEastAsia"/>
          <w:sz w:val="24"/>
        </w:rPr>
        <w:tab/>
      </w:r>
      <w:r>
        <w:rPr>
          <w:rFonts w:ascii="Times New Roman" w:hAnsi="Times New Roman" w:cs="Times New Roman" w:eastAsiaTheme="minorEastAsia"/>
          <w:sz w:val="24"/>
        </w:rPr>
        <w:t>1</w:t>
      </w:r>
      <w:r>
        <w:rPr>
          <w:rFonts w:hint="eastAsia" w:ascii="Times New Roman" w:hAnsi="Times New Roman" w:cs="Times New Roman" w:eastAsiaTheme="minorEastAsia"/>
          <w:sz w:val="24"/>
        </w:rPr>
        <w:t>6</w:t>
      </w:r>
    </w:p>
    <w:p w14:paraId="2E5C9040">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 xml:space="preserve">Appendix C  </w:t>
      </w:r>
      <w:r>
        <w:rPr>
          <w:rFonts w:hint="eastAsia" w:ascii="Times New Roman" w:hAnsi="Times New Roman" w:cs="Times New Roman" w:eastAsiaTheme="minorEastAsia"/>
          <w:sz w:val="24"/>
        </w:rPr>
        <w:t xml:space="preserve">Checklist of </w:t>
      </w:r>
      <w:r>
        <w:rPr>
          <w:rFonts w:ascii="Times New Roman" w:hAnsi="Times New Roman" w:cs="Times New Roman" w:eastAsiaTheme="minorEastAsia"/>
          <w:sz w:val="24"/>
        </w:rPr>
        <w:t>Improvement Recommendations</w:t>
      </w:r>
      <w:r>
        <w:rPr>
          <w:rFonts w:hint="eastAsia" w:ascii="Times New Roman" w:hAnsi="Times New Roman" w:cs="Times New Roman" w:eastAsiaTheme="minorEastAsia"/>
          <w:sz w:val="24"/>
        </w:rPr>
        <w:t xml:space="preserve"> </w:t>
      </w:r>
      <w:r>
        <w:rPr>
          <w:rFonts w:ascii="Times New Roman" w:hAnsi="Times New Roman" w:cs="Times New Roman" w:eastAsiaTheme="minorEastAsia"/>
          <w:sz w:val="24"/>
        </w:rPr>
        <w:t>by Dimension</w:t>
      </w:r>
      <w:r>
        <w:rPr>
          <w:rFonts w:ascii="Times New Roman" w:hAnsi="Times New Roman" w:cs="Times New Roman" w:eastAsiaTheme="minorEastAsia"/>
          <w:sz w:val="24"/>
        </w:rPr>
        <w:tab/>
      </w:r>
      <w:r>
        <w:rPr>
          <w:rFonts w:ascii="Times New Roman" w:hAnsi="Times New Roman" w:cs="Times New Roman" w:eastAsiaTheme="minorEastAsia"/>
          <w:sz w:val="24"/>
        </w:rPr>
        <w:t>1</w:t>
      </w:r>
      <w:r>
        <w:rPr>
          <w:rFonts w:hint="eastAsia" w:ascii="Times New Roman" w:hAnsi="Times New Roman" w:cs="Times New Roman" w:eastAsiaTheme="minorEastAsia"/>
          <w:sz w:val="24"/>
        </w:rPr>
        <w:t>7</w:t>
      </w:r>
    </w:p>
    <w:p w14:paraId="112BFF95">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Explanation of Wording in This Standard</w:t>
      </w:r>
      <w:r>
        <w:rPr>
          <w:rFonts w:ascii="Times New Roman" w:hAnsi="Times New Roman" w:cs="Times New Roman" w:eastAsiaTheme="minorEastAsia"/>
          <w:sz w:val="24"/>
        </w:rPr>
        <w:tab/>
      </w:r>
      <w:r>
        <w:rPr>
          <w:rFonts w:ascii="Times New Roman" w:hAnsi="Times New Roman" w:cs="Times New Roman" w:eastAsiaTheme="minorEastAsia"/>
          <w:sz w:val="24"/>
        </w:rPr>
        <w:t>1</w:t>
      </w:r>
      <w:r>
        <w:rPr>
          <w:rFonts w:hint="eastAsia" w:ascii="Times New Roman" w:hAnsi="Times New Roman" w:cs="Times New Roman" w:eastAsiaTheme="minorEastAsia"/>
          <w:sz w:val="24"/>
        </w:rPr>
        <w:t>9</w:t>
      </w:r>
    </w:p>
    <w:p w14:paraId="0272F7AE">
      <w:pPr>
        <w:tabs>
          <w:tab w:val="right" w:leader="middleDot" w:pos="8400"/>
        </w:tabs>
        <w:spacing w:line="360" w:lineRule="auto"/>
        <w:jc w:val="distribute"/>
        <w:rPr>
          <w:rFonts w:ascii="Times New Roman" w:hAnsi="Times New Roman" w:cs="Times New Roman" w:eastAsiaTheme="minorEastAsia"/>
          <w:sz w:val="24"/>
        </w:rPr>
      </w:pPr>
      <w:r>
        <w:rPr>
          <w:rFonts w:ascii="Times New Roman" w:hAnsi="Times New Roman" w:cs="Times New Roman" w:eastAsiaTheme="minorEastAsia"/>
          <w:sz w:val="24"/>
        </w:rPr>
        <w:t>List of Quoted Standards</w:t>
      </w:r>
      <w:r>
        <w:rPr>
          <w:rFonts w:ascii="Times New Roman" w:hAnsi="Times New Roman" w:cs="Times New Roman" w:eastAsiaTheme="minorEastAsia"/>
          <w:sz w:val="24"/>
        </w:rPr>
        <w:tab/>
      </w:r>
      <w:r>
        <w:rPr>
          <w:rFonts w:hint="eastAsia" w:ascii="Times New Roman" w:hAnsi="Times New Roman" w:cs="Times New Roman" w:eastAsiaTheme="minorEastAsia"/>
          <w:sz w:val="24"/>
        </w:rPr>
        <w:t>20</w:t>
      </w:r>
    </w:p>
    <w:p w14:paraId="6895E847">
      <w:pPr>
        <w:tabs>
          <w:tab w:val="right" w:leader="middleDot" w:pos="8400"/>
        </w:tabs>
        <w:spacing w:line="312" w:lineRule="auto"/>
        <w:jc w:val="distribute"/>
        <w:rPr>
          <w:rFonts w:ascii="Times New Roman" w:hAnsi="Times New Roman" w:cs="Times New Roman"/>
          <w:sz w:val="24"/>
          <w:szCs w:val="24"/>
        </w:rPr>
        <w:sectPr>
          <w:footerReference r:id="rId6" w:type="default"/>
          <w:pgSz w:w="11906" w:h="16838"/>
          <w:pgMar w:top="1440" w:right="1800" w:bottom="1440" w:left="1800" w:header="851" w:footer="992" w:gutter="0"/>
          <w:pgNumType w:fmt="upperRoman"/>
          <w:cols w:space="720" w:num="1"/>
          <w:docGrid w:type="lines" w:linePitch="312" w:charSpace="0"/>
        </w:sectPr>
      </w:pPr>
    </w:p>
    <w:p w14:paraId="13B86383">
      <w:pPr>
        <w:pStyle w:val="3"/>
        <w:spacing w:before="0" w:after="156" w:afterLines="50" w:line="360" w:lineRule="auto"/>
        <w:ind w:left="357" w:hanging="357"/>
        <w:jc w:val="center"/>
        <w:rPr>
          <w:rFonts w:ascii="Times New Roman" w:hAnsi="Times New Roman" w:eastAsiaTheme="minorEastAsia"/>
          <w:kern w:val="0"/>
          <w:sz w:val="24"/>
          <w:szCs w:val="24"/>
          <w:lang w:val="zh-CN"/>
        </w:rPr>
      </w:pPr>
      <w:bookmarkStart w:id="2" w:name="_Toc211952364"/>
      <w:bookmarkStart w:id="3" w:name="_Toc221291493"/>
      <w:r>
        <w:rPr>
          <w:rFonts w:hint="eastAsia" w:ascii="Times New Roman" w:hAnsi="Times New Roman" w:eastAsiaTheme="minorEastAsia"/>
          <w:kern w:val="0"/>
          <w:sz w:val="24"/>
          <w:szCs w:val="24"/>
          <w:lang w:val="zh-CN"/>
        </w:rPr>
        <w:t>1 总则</w:t>
      </w:r>
      <w:bookmarkEnd w:id="2"/>
      <w:bookmarkEnd w:id="3"/>
    </w:p>
    <w:p w14:paraId="4491B59D">
      <w:pPr>
        <w:widowControl/>
        <w:spacing w:after="156" w:afterLines="50" w:line="278" w:lineRule="auto"/>
        <w:outlineLvl w:val="2"/>
        <w:rPr>
          <w:rFonts w:ascii="宋体" w:hAnsi="宋体" w:cs="宋体"/>
          <w:kern w:val="0"/>
          <w:sz w:val="24"/>
          <w:szCs w:val="24"/>
          <w:lang w:bidi="ar"/>
        </w:rPr>
      </w:pPr>
      <w:r>
        <w:rPr>
          <w:rFonts w:hint="eastAsia" w:ascii="Times New Roman" w:hAnsi="Times New Roman" w:cs="Times New Roman"/>
          <w:b/>
          <w:bCs/>
          <w:sz w:val="24"/>
          <w:szCs w:val="32"/>
          <w:lang w:bidi="ar"/>
        </w:rPr>
        <w:t xml:space="preserve">1.0.1 </w:t>
      </w:r>
      <w:r>
        <w:rPr>
          <w:rFonts w:hint="eastAsia" w:ascii="宋体" w:hAnsi="宋体" w:cs="宋体"/>
          <w:kern w:val="0"/>
          <w:sz w:val="24"/>
          <w:szCs w:val="24"/>
          <w:lang w:bidi="ar"/>
        </w:rPr>
        <w:t>为规范城市体检评估的</w:t>
      </w:r>
      <w:bookmarkStart w:id="4" w:name="OLE_LINK14"/>
      <w:bookmarkStart w:id="5" w:name="OLE_LINK15"/>
      <w:r>
        <w:rPr>
          <w:rFonts w:hint="eastAsia" w:ascii="宋体" w:hAnsi="宋体" w:cs="宋体"/>
          <w:kern w:val="0"/>
          <w:sz w:val="24"/>
          <w:szCs w:val="24"/>
          <w:lang w:bidi="ar"/>
        </w:rPr>
        <w:t>基本要求、工作流程与技术方法</w:t>
      </w:r>
      <w:bookmarkEnd w:id="4"/>
      <w:bookmarkEnd w:id="5"/>
      <w:r>
        <w:rPr>
          <w:rFonts w:hint="eastAsia" w:ascii="宋体" w:hAnsi="宋体" w:cs="宋体"/>
          <w:kern w:val="0"/>
          <w:sz w:val="24"/>
          <w:szCs w:val="24"/>
          <w:lang w:bidi="ar"/>
        </w:rPr>
        <w:t>，制定本标准。</w:t>
      </w:r>
    </w:p>
    <w:p w14:paraId="5140133D">
      <w:pPr>
        <w:widowControl/>
        <w:spacing w:after="156" w:afterLines="50" w:line="278" w:lineRule="auto"/>
        <w:outlineLvl w:val="2"/>
        <w:rPr>
          <w:rFonts w:ascii="宋体" w:hAnsi="宋体" w:cs="宋体"/>
          <w:kern w:val="0"/>
          <w:sz w:val="24"/>
          <w:szCs w:val="24"/>
          <w:lang w:bidi="ar"/>
        </w:rPr>
      </w:pPr>
      <w:r>
        <w:rPr>
          <w:rFonts w:ascii="Times New Roman" w:hAnsi="Times New Roman" w:cs="Times New Roman"/>
          <w:b/>
          <w:bCs/>
          <w:sz w:val="24"/>
          <w:szCs w:val="32"/>
          <w:lang w:bidi="ar"/>
        </w:rPr>
        <w:t>1.0.2</w:t>
      </w:r>
      <w:r>
        <w:rPr>
          <w:rFonts w:hint="eastAsia" w:ascii="Times New Roman" w:hAnsi="Times New Roman" w:cs="Times New Roman"/>
          <w:b/>
          <w:bCs/>
          <w:sz w:val="24"/>
          <w:szCs w:val="32"/>
          <w:lang w:bidi="ar"/>
        </w:rPr>
        <w:t xml:space="preserve"> </w:t>
      </w:r>
      <w:r>
        <w:rPr>
          <w:rFonts w:hint="eastAsia" w:ascii="宋体" w:hAnsi="宋体" w:cs="宋体"/>
          <w:kern w:val="0"/>
          <w:sz w:val="24"/>
          <w:szCs w:val="24"/>
          <w:lang w:bidi="ar"/>
        </w:rPr>
        <w:t>本标准适用于我国设市城市的体检评估工作，其他县级行政区划单位可参照执行。</w:t>
      </w:r>
    </w:p>
    <w:p w14:paraId="22A7CAEB">
      <w:pPr>
        <w:widowControl/>
        <w:spacing w:after="160" w:line="278" w:lineRule="auto"/>
        <w:outlineLvl w:val="2"/>
        <w:rPr>
          <w:rFonts w:ascii="Times New Roman" w:hAnsi="Times New Roman" w:cs="Times New Roman"/>
          <w:b/>
          <w:bCs/>
          <w:sz w:val="24"/>
          <w:szCs w:val="32"/>
          <w:lang w:bidi="ar"/>
        </w:rPr>
      </w:pPr>
      <w:r>
        <w:rPr>
          <w:rFonts w:ascii="Times New Roman" w:hAnsi="Times New Roman" w:cs="Times New Roman"/>
          <w:b/>
          <w:bCs/>
          <w:sz w:val="24"/>
          <w:szCs w:val="32"/>
          <w:lang w:bidi="ar"/>
        </w:rPr>
        <w:t>1.0.3</w:t>
      </w:r>
      <w:r>
        <w:rPr>
          <w:rFonts w:hint="eastAsia" w:ascii="Times New Roman" w:hAnsi="Times New Roman" w:cs="Times New Roman"/>
          <w:b/>
          <w:bCs/>
          <w:sz w:val="24"/>
          <w:szCs w:val="32"/>
          <w:lang w:bidi="ar"/>
        </w:rPr>
        <w:t xml:space="preserve"> </w:t>
      </w:r>
      <w:r>
        <w:rPr>
          <w:rFonts w:hint="eastAsia" w:ascii="Times New Roman" w:hAnsi="Times New Roman" w:cs="Times New Roman"/>
          <w:sz w:val="24"/>
          <w:szCs w:val="32"/>
          <w:lang w:bidi="ar"/>
        </w:rPr>
        <w:t>城市体检评估工作应坚持以人为本、实事求是、因地制宜、统筹协调的原则。</w:t>
      </w:r>
    </w:p>
    <w:p w14:paraId="3B4C2FD1">
      <w:pPr>
        <w:widowControl/>
        <w:spacing w:after="160" w:line="278" w:lineRule="auto"/>
        <w:outlineLvl w:val="2"/>
        <w:rPr>
          <w:rFonts w:ascii="Times New Roman" w:hAnsi="Times New Roman" w:cs="Times New Roman"/>
          <w:b/>
          <w:bCs/>
          <w:sz w:val="24"/>
          <w:szCs w:val="32"/>
          <w:lang w:bidi="ar"/>
        </w:rPr>
      </w:pPr>
      <w:r>
        <w:rPr>
          <w:rFonts w:hint="eastAsia" w:ascii="Times New Roman" w:hAnsi="Times New Roman" w:cs="Times New Roman"/>
          <w:b/>
          <w:bCs/>
          <w:sz w:val="24"/>
          <w:szCs w:val="32"/>
          <w:lang w:bidi="ar"/>
        </w:rPr>
        <w:t xml:space="preserve">1.0.4 </w:t>
      </w:r>
      <w:r>
        <w:rPr>
          <w:rFonts w:hint="eastAsia" w:ascii="Times New Roman" w:hAnsi="Times New Roman" w:cs="Times New Roman"/>
          <w:sz w:val="24"/>
          <w:szCs w:val="32"/>
          <w:lang w:bidi="ar"/>
        </w:rPr>
        <w:t>城市体检评估工作除应符合本标准外，尚应符合国家现行有关标准的规定。</w:t>
      </w:r>
    </w:p>
    <w:p w14:paraId="16D3E267">
      <w:pPr>
        <w:widowControl/>
        <w:rPr>
          <w:rFonts w:ascii="楷体" w:hAnsi="楷体" w:eastAsia="楷体" w:cs="Times New Roman"/>
          <w:szCs w:val="22"/>
          <w:lang w:bidi="ar"/>
        </w:rPr>
      </w:pPr>
      <w:r>
        <w:rPr>
          <w:rFonts w:hint="eastAsia" w:ascii="等线" w:hAnsi="等线" w:eastAsia="等线" w:cs="Times New Roman"/>
          <w:szCs w:val="22"/>
          <w:lang w:bidi="ar"/>
        </w:rPr>
        <w:br w:type="page"/>
      </w:r>
    </w:p>
    <w:p w14:paraId="6B053FB3">
      <w:pPr>
        <w:pStyle w:val="3"/>
        <w:spacing w:before="0" w:after="156" w:afterLines="50" w:line="360" w:lineRule="auto"/>
        <w:ind w:left="357" w:hanging="357"/>
        <w:jc w:val="center"/>
        <w:rPr>
          <w:rFonts w:ascii="Times New Roman" w:hAnsi="Times New Roman" w:eastAsiaTheme="minorEastAsia"/>
          <w:kern w:val="0"/>
          <w:sz w:val="24"/>
          <w:szCs w:val="24"/>
        </w:rPr>
      </w:pPr>
      <w:bookmarkStart w:id="6" w:name="_Toc221291494"/>
      <w:bookmarkStart w:id="7" w:name="_Toc211952365"/>
      <w:r>
        <w:rPr>
          <w:rFonts w:hint="eastAsia" w:ascii="Times New Roman" w:hAnsi="Times New Roman" w:eastAsiaTheme="minorEastAsia"/>
          <w:kern w:val="0"/>
          <w:sz w:val="24"/>
          <w:szCs w:val="24"/>
        </w:rPr>
        <w:t xml:space="preserve">2 </w:t>
      </w:r>
      <w:r>
        <w:rPr>
          <w:rFonts w:hint="eastAsia" w:ascii="Times New Roman" w:hAnsi="Times New Roman" w:eastAsiaTheme="minorEastAsia"/>
          <w:kern w:val="0"/>
          <w:sz w:val="24"/>
          <w:szCs w:val="24"/>
          <w:lang w:val="zh-CN"/>
        </w:rPr>
        <w:t>术语</w:t>
      </w:r>
      <w:bookmarkEnd w:id="6"/>
      <w:bookmarkEnd w:id="7"/>
    </w:p>
    <w:p w14:paraId="6FB6C434">
      <w:pPr>
        <w:widowControl/>
        <w:spacing w:after="156" w:afterLines="50" w:line="278" w:lineRule="auto"/>
        <w:outlineLvl w:val="2"/>
        <w:rPr>
          <w:rFonts w:ascii="Times New Roman" w:hAnsi="Times New Roman" w:cs="Times New Roman"/>
          <w:bCs/>
          <w:sz w:val="24"/>
          <w:szCs w:val="32"/>
          <w:lang w:bidi="ar"/>
        </w:rPr>
      </w:pPr>
      <w:r>
        <w:rPr>
          <w:rFonts w:hint="eastAsia" w:ascii="Times New Roman" w:hAnsi="Times New Roman" w:cs="Times New Roman"/>
          <w:b/>
          <w:bCs/>
          <w:sz w:val="24"/>
          <w:szCs w:val="32"/>
          <w:lang w:bidi="ar"/>
        </w:rPr>
        <w:t xml:space="preserve">2.0.1 </w:t>
      </w:r>
      <w:r>
        <w:rPr>
          <w:rFonts w:hint="eastAsia" w:ascii="Times New Roman" w:hAnsi="Times New Roman" w:cs="Times New Roman"/>
          <w:bCs/>
          <w:sz w:val="24"/>
          <w:szCs w:val="32"/>
          <w:lang w:bidi="ar"/>
        </w:rPr>
        <w:t>城市体检评估</w:t>
      </w:r>
      <w:bookmarkStart w:id="8" w:name="_Hlk216524148"/>
      <w:r>
        <w:rPr>
          <w:rFonts w:ascii="Times New Roman" w:hAnsi="Times New Roman" w:cs="Times New Roman"/>
          <w:bCs/>
          <w:sz w:val="24"/>
          <w:szCs w:val="32"/>
          <w:lang w:bidi="ar"/>
        </w:rPr>
        <w:t xml:space="preserve">  </w:t>
      </w:r>
      <w:r>
        <w:rPr>
          <w:rFonts w:hint="eastAsia" w:ascii="Times New Roman" w:hAnsi="Times New Roman" w:cs="Times New Roman"/>
          <w:bCs/>
          <w:sz w:val="24"/>
          <w:szCs w:val="32"/>
          <w:lang w:bidi="ar"/>
        </w:rPr>
        <w:t xml:space="preserve">urban </w:t>
      </w:r>
      <w:r>
        <w:rPr>
          <w:rFonts w:ascii="Times New Roman" w:hAnsi="Times New Roman" w:cs="Times New Roman"/>
          <w:bCs/>
          <w:sz w:val="24"/>
          <w:szCs w:val="32"/>
          <w:lang w:bidi="ar"/>
        </w:rPr>
        <w:t>h</w:t>
      </w:r>
      <w:r>
        <w:rPr>
          <w:rFonts w:hint="eastAsia" w:ascii="Times New Roman" w:hAnsi="Times New Roman" w:cs="Times New Roman"/>
          <w:bCs/>
          <w:sz w:val="24"/>
          <w:szCs w:val="32"/>
          <w:lang w:bidi="ar"/>
        </w:rPr>
        <w:t xml:space="preserve">ealth </w:t>
      </w:r>
      <w:r>
        <w:rPr>
          <w:rFonts w:ascii="Times New Roman" w:hAnsi="Times New Roman" w:cs="Times New Roman"/>
          <w:bCs/>
          <w:sz w:val="24"/>
          <w:szCs w:val="32"/>
          <w:lang w:bidi="ar"/>
        </w:rPr>
        <w:t>c</w:t>
      </w:r>
      <w:r>
        <w:rPr>
          <w:rFonts w:hint="eastAsia" w:ascii="Times New Roman" w:hAnsi="Times New Roman" w:cs="Times New Roman"/>
          <w:bCs/>
          <w:sz w:val="24"/>
          <w:szCs w:val="32"/>
          <w:lang w:bidi="ar"/>
        </w:rPr>
        <w:t>heck and</w:t>
      </w:r>
      <w:r>
        <w:rPr>
          <w:rFonts w:ascii="Times New Roman" w:hAnsi="Times New Roman" w:cs="Times New Roman"/>
          <w:bCs/>
          <w:sz w:val="24"/>
          <w:szCs w:val="32"/>
          <w:lang w:bidi="ar"/>
        </w:rPr>
        <w:t xml:space="preserve"> a</w:t>
      </w:r>
      <w:r>
        <w:rPr>
          <w:rFonts w:hint="eastAsia" w:ascii="Times New Roman" w:hAnsi="Times New Roman" w:cs="Times New Roman"/>
          <w:bCs/>
          <w:sz w:val="24"/>
          <w:szCs w:val="32"/>
          <w:lang w:bidi="ar"/>
        </w:rPr>
        <w:t>ssessment</w:t>
      </w:r>
      <w:bookmarkEnd w:id="8"/>
    </w:p>
    <w:p w14:paraId="6B7A9A14">
      <w:pPr>
        <w:widowControl/>
        <w:spacing w:after="156" w:afterLines="50" w:line="278" w:lineRule="auto"/>
        <w:ind w:firstLine="420"/>
        <w:rPr>
          <w:rFonts w:ascii="宋体" w:hAnsi="宋体" w:cs="宋体"/>
          <w:kern w:val="0"/>
          <w:sz w:val="24"/>
          <w:szCs w:val="24"/>
          <w:lang w:bidi="ar"/>
        </w:rPr>
      </w:pPr>
      <w:r>
        <w:rPr>
          <w:rFonts w:hint="eastAsia" w:ascii="宋体" w:hAnsi="宋体" w:cs="宋体"/>
          <w:kern w:val="0"/>
          <w:sz w:val="24"/>
          <w:szCs w:val="24"/>
          <w:lang w:bidi="ar"/>
        </w:rPr>
        <w:t>采用主客观相结合的方法，分析评估城市建设成效，查找影响人民群众生产生活和城市建设的短板问题，综合评估城市发展状况并评估治理成效的过程。包括城市体检和定期评估。</w:t>
      </w:r>
    </w:p>
    <w:p w14:paraId="7737CD33">
      <w:pPr>
        <w:widowControl/>
        <w:spacing w:after="156" w:afterLines="50" w:line="278" w:lineRule="auto"/>
        <w:outlineLvl w:val="2"/>
        <w:rPr>
          <w:rFonts w:ascii="Times New Roman" w:hAnsi="Times New Roman" w:cs="Times New Roman"/>
          <w:b/>
          <w:bCs/>
          <w:sz w:val="24"/>
          <w:szCs w:val="32"/>
          <w:lang w:bidi="ar"/>
        </w:rPr>
      </w:pPr>
      <w:r>
        <w:rPr>
          <w:rFonts w:hint="eastAsia" w:ascii="Times New Roman" w:hAnsi="Times New Roman" w:cs="Times New Roman"/>
          <w:b/>
          <w:bCs/>
          <w:sz w:val="24"/>
          <w:szCs w:val="32"/>
          <w:lang w:bidi="ar"/>
        </w:rPr>
        <w:t xml:space="preserve">2.0.2 </w:t>
      </w:r>
      <w:r>
        <w:rPr>
          <w:rFonts w:hint="eastAsia" w:ascii="Times New Roman" w:hAnsi="Times New Roman" w:cs="Times New Roman"/>
          <w:bCs/>
          <w:sz w:val="24"/>
          <w:szCs w:val="32"/>
          <w:lang w:bidi="ar"/>
        </w:rPr>
        <w:t>城市体检</w:t>
      </w:r>
      <w:r>
        <w:rPr>
          <w:rFonts w:ascii="Times New Roman" w:hAnsi="Times New Roman" w:cs="Times New Roman"/>
          <w:bCs/>
          <w:sz w:val="24"/>
          <w:szCs w:val="32"/>
          <w:lang w:bidi="ar"/>
        </w:rPr>
        <w:t xml:space="preserve">  u</w:t>
      </w:r>
      <w:r>
        <w:rPr>
          <w:rFonts w:hint="eastAsia" w:ascii="Times New Roman" w:hAnsi="Times New Roman" w:cs="Times New Roman"/>
          <w:bCs/>
          <w:sz w:val="24"/>
          <w:szCs w:val="32"/>
          <w:lang w:bidi="ar"/>
        </w:rPr>
        <w:t xml:space="preserve">rban </w:t>
      </w:r>
      <w:r>
        <w:rPr>
          <w:rFonts w:ascii="Times New Roman" w:hAnsi="Times New Roman" w:cs="Times New Roman"/>
          <w:bCs/>
          <w:sz w:val="24"/>
          <w:szCs w:val="32"/>
          <w:lang w:bidi="ar"/>
        </w:rPr>
        <w:t>h</w:t>
      </w:r>
      <w:r>
        <w:rPr>
          <w:rFonts w:hint="eastAsia" w:ascii="Times New Roman" w:hAnsi="Times New Roman" w:cs="Times New Roman"/>
          <w:bCs/>
          <w:sz w:val="24"/>
          <w:szCs w:val="32"/>
          <w:lang w:bidi="ar"/>
        </w:rPr>
        <w:t xml:space="preserve">ealth </w:t>
      </w:r>
      <w:r>
        <w:rPr>
          <w:rFonts w:ascii="Times New Roman" w:hAnsi="Times New Roman" w:cs="Times New Roman"/>
          <w:bCs/>
          <w:sz w:val="24"/>
          <w:szCs w:val="32"/>
          <w:lang w:bidi="ar"/>
        </w:rPr>
        <w:t>c</w:t>
      </w:r>
      <w:r>
        <w:rPr>
          <w:rFonts w:hint="eastAsia" w:ascii="Times New Roman" w:hAnsi="Times New Roman" w:cs="Times New Roman"/>
          <w:bCs/>
          <w:sz w:val="24"/>
          <w:szCs w:val="32"/>
          <w:lang w:bidi="ar"/>
        </w:rPr>
        <w:t>heck</w:t>
      </w:r>
    </w:p>
    <w:p w14:paraId="7BC351A2">
      <w:pPr>
        <w:widowControl/>
        <w:spacing w:after="156" w:afterLines="50" w:line="278" w:lineRule="auto"/>
        <w:ind w:firstLine="420"/>
        <w:rPr>
          <w:rFonts w:ascii="宋体" w:hAnsi="宋体" w:cs="宋体"/>
          <w:kern w:val="0"/>
          <w:sz w:val="24"/>
          <w:szCs w:val="24"/>
          <w:lang w:bidi="ar"/>
        </w:rPr>
      </w:pPr>
      <w:r>
        <w:rPr>
          <w:rFonts w:hint="eastAsia" w:ascii="宋体" w:hAnsi="宋体" w:cs="宋体"/>
          <w:kern w:val="0"/>
          <w:sz w:val="24"/>
          <w:szCs w:val="24"/>
          <w:lang w:bidi="ar"/>
        </w:rPr>
        <w:t>在城市建设管理过程中，通过建立城市体检指标体系，查找一定时期内影响人民群众生产生活的突出问题以及影响城市竞争力、承载力和可持续发展的短板弱项的活动。包括综合体检和专项体检。</w:t>
      </w:r>
    </w:p>
    <w:p w14:paraId="0FB7D9A0">
      <w:pPr>
        <w:widowControl/>
        <w:spacing w:after="156" w:afterLines="50" w:line="278" w:lineRule="auto"/>
        <w:outlineLvl w:val="2"/>
        <w:rPr>
          <w:rFonts w:ascii="Times New Roman" w:hAnsi="Times New Roman" w:cs="Times New Roman"/>
          <w:bCs/>
          <w:sz w:val="24"/>
          <w:szCs w:val="32"/>
          <w:lang w:bidi="ar"/>
        </w:rPr>
      </w:pPr>
      <w:r>
        <w:rPr>
          <w:rFonts w:ascii="Times New Roman" w:hAnsi="Times New Roman" w:cs="Times New Roman"/>
          <w:b/>
          <w:bCs/>
          <w:sz w:val="24"/>
          <w:szCs w:val="32"/>
          <w:lang w:bidi="ar"/>
        </w:rPr>
        <w:t xml:space="preserve">2.0.3 </w:t>
      </w:r>
      <w:r>
        <w:rPr>
          <w:rFonts w:hint="eastAsia" w:ascii="Times New Roman" w:hAnsi="Times New Roman" w:cs="Times New Roman"/>
          <w:bCs/>
          <w:sz w:val="24"/>
          <w:szCs w:val="32"/>
          <w:lang w:bidi="ar"/>
        </w:rPr>
        <w:t>综合体检</w:t>
      </w:r>
      <w:r>
        <w:rPr>
          <w:rFonts w:ascii="Times New Roman" w:hAnsi="Times New Roman" w:cs="Times New Roman"/>
          <w:bCs/>
          <w:sz w:val="24"/>
          <w:szCs w:val="32"/>
          <w:lang w:bidi="ar"/>
        </w:rPr>
        <w:t xml:space="preserve"> comprehensive urban health check</w:t>
      </w:r>
    </w:p>
    <w:p w14:paraId="367EC13B">
      <w:pPr>
        <w:widowControl/>
        <w:spacing w:after="156" w:afterLines="50" w:line="278" w:lineRule="auto"/>
        <w:ind w:firstLine="420"/>
        <w:rPr>
          <w:rFonts w:ascii="宋体" w:hAnsi="宋体" w:cs="宋体"/>
          <w:kern w:val="0"/>
          <w:sz w:val="24"/>
          <w:szCs w:val="24"/>
          <w:lang w:bidi="ar"/>
        </w:rPr>
      </w:pPr>
      <w:r>
        <w:rPr>
          <w:rFonts w:hint="eastAsia" w:ascii="宋体" w:hAnsi="宋体" w:cs="宋体"/>
          <w:kern w:val="0"/>
          <w:sz w:val="24"/>
          <w:szCs w:val="24"/>
          <w:lang w:bidi="ar"/>
        </w:rPr>
        <w:t>对城市建设整体情况开展的体检。</w:t>
      </w:r>
    </w:p>
    <w:p w14:paraId="6CB536D6">
      <w:pPr>
        <w:widowControl/>
        <w:spacing w:after="156" w:afterLines="50" w:line="278" w:lineRule="auto"/>
        <w:outlineLvl w:val="2"/>
        <w:rPr>
          <w:rFonts w:ascii="Times New Roman" w:hAnsi="Times New Roman" w:cs="Times New Roman"/>
          <w:b/>
          <w:bCs/>
          <w:sz w:val="24"/>
          <w:szCs w:val="32"/>
          <w:lang w:bidi="ar"/>
        </w:rPr>
      </w:pPr>
      <w:r>
        <w:rPr>
          <w:rFonts w:ascii="Times New Roman" w:hAnsi="Times New Roman" w:cs="Times New Roman"/>
          <w:b/>
          <w:bCs/>
          <w:sz w:val="24"/>
          <w:szCs w:val="32"/>
          <w:lang w:bidi="ar"/>
        </w:rPr>
        <w:t xml:space="preserve">2.0.4 </w:t>
      </w:r>
      <w:r>
        <w:rPr>
          <w:rFonts w:hint="eastAsia" w:ascii="Times New Roman" w:hAnsi="Times New Roman" w:cs="Times New Roman"/>
          <w:bCs/>
          <w:sz w:val="24"/>
          <w:szCs w:val="32"/>
          <w:lang w:bidi="ar"/>
        </w:rPr>
        <w:t>专项体检</w:t>
      </w:r>
      <w:r>
        <w:rPr>
          <w:rFonts w:ascii="Times New Roman" w:hAnsi="Times New Roman" w:cs="Times New Roman"/>
          <w:bCs/>
          <w:sz w:val="24"/>
          <w:szCs w:val="32"/>
          <w:lang w:bidi="ar"/>
        </w:rPr>
        <w:t xml:space="preserve"> special urban health check</w:t>
      </w:r>
    </w:p>
    <w:p w14:paraId="19E51D99">
      <w:pPr>
        <w:widowControl/>
        <w:spacing w:after="156" w:afterLines="50" w:line="278" w:lineRule="auto"/>
        <w:ind w:firstLine="420"/>
        <w:rPr>
          <w:rFonts w:ascii="宋体" w:hAnsi="宋体" w:cs="宋体"/>
          <w:kern w:val="0"/>
          <w:sz w:val="24"/>
          <w:szCs w:val="24"/>
          <w:lang w:bidi="ar"/>
        </w:rPr>
      </w:pPr>
      <w:bookmarkStart w:id="9" w:name="OLE_LINK4"/>
      <w:r>
        <w:rPr>
          <w:sz w:val="24"/>
          <w:szCs w:val="24"/>
        </w:rPr>
        <w:t>对专项领域</w:t>
      </w:r>
      <w:r>
        <w:rPr>
          <w:rFonts w:hint="eastAsia" w:ascii="宋体" w:hAnsi="宋体" w:cs="宋体"/>
          <w:kern w:val="0"/>
          <w:sz w:val="24"/>
          <w:szCs w:val="24"/>
          <w:lang w:bidi="ar"/>
        </w:rPr>
        <w:t>、片区等开展的体检。</w:t>
      </w:r>
    </w:p>
    <w:bookmarkEnd w:id="9"/>
    <w:p w14:paraId="1D2F5CFC">
      <w:pPr>
        <w:widowControl/>
        <w:spacing w:after="156" w:afterLines="50" w:line="278" w:lineRule="auto"/>
        <w:outlineLvl w:val="2"/>
        <w:rPr>
          <w:rFonts w:ascii="Times New Roman" w:hAnsi="Times New Roman" w:cs="Times New Roman"/>
          <w:b/>
          <w:bCs/>
          <w:sz w:val="24"/>
          <w:szCs w:val="32"/>
          <w:lang w:bidi="ar"/>
        </w:rPr>
      </w:pPr>
      <w:r>
        <w:rPr>
          <w:rFonts w:hint="eastAsia" w:ascii="Times New Roman" w:hAnsi="Times New Roman" w:cs="Times New Roman"/>
          <w:b/>
          <w:bCs/>
          <w:sz w:val="24"/>
          <w:szCs w:val="32"/>
          <w:lang w:bidi="ar"/>
        </w:rPr>
        <w:t>2.0.</w:t>
      </w:r>
      <w:r>
        <w:rPr>
          <w:rFonts w:ascii="Times New Roman" w:hAnsi="Times New Roman" w:cs="Times New Roman"/>
          <w:b/>
          <w:bCs/>
          <w:sz w:val="24"/>
          <w:szCs w:val="32"/>
          <w:lang w:bidi="ar"/>
        </w:rPr>
        <w:t>5</w:t>
      </w:r>
      <w:r>
        <w:rPr>
          <w:rFonts w:hint="eastAsia" w:ascii="Times New Roman" w:hAnsi="Times New Roman" w:cs="Times New Roman"/>
          <w:b/>
          <w:bCs/>
          <w:sz w:val="24"/>
          <w:szCs w:val="32"/>
          <w:lang w:bidi="ar"/>
        </w:rPr>
        <w:t xml:space="preserve"> </w:t>
      </w:r>
      <w:r>
        <w:rPr>
          <w:rFonts w:hint="eastAsia" w:ascii="Times New Roman" w:hAnsi="Times New Roman" w:cs="Times New Roman"/>
          <w:bCs/>
          <w:sz w:val="24"/>
          <w:szCs w:val="32"/>
          <w:lang w:bidi="ar"/>
        </w:rPr>
        <w:t>定期评估</w:t>
      </w:r>
      <w:r>
        <w:rPr>
          <w:rFonts w:ascii="Times New Roman" w:hAnsi="Times New Roman" w:cs="Times New Roman"/>
          <w:bCs/>
          <w:sz w:val="24"/>
          <w:szCs w:val="32"/>
          <w:lang w:bidi="ar"/>
        </w:rPr>
        <w:t xml:space="preserve">  periodic assessment</w:t>
      </w:r>
    </w:p>
    <w:p w14:paraId="79569C16">
      <w:pPr>
        <w:widowControl/>
        <w:spacing w:after="156" w:afterLines="50" w:line="278" w:lineRule="auto"/>
        <w:ind w:firstLine="420"/>
        <w:rPr>
          <w:rFonts w:ascii="宋体" w:hAnsi="宋体" w:cs="宋体"/>
          <w:kern w:val="0"/>
          <w:sz w:val="24"/>
          <w:szCs w:val="24"/>
          <w:lang w:bidi="ar"/>
        </w:rPr>
      </w:pPr>
      <w:r>
        <w:rPr>
          <w:rFonts w:hint="eastAsia" w:ascii="宋体" w:hAnsi="宋体" w:cs="宋体"/>
          <w:kern w:val="0"/>
          <w:sz w:val="24"/>
          <w:szCs w:val="24"/>
          <w:lang w:bidi="ar"/>
        </w:rPr>
        <w:t>结合城市体检开展时序和工作需要，对一定时期内城市建设发展情况、城市体检工作开展情况和城市更新实施的成效等进行的评估。</w:t>
      </w:r>
    </w:p>
    <w:p w14:paraId="241D04D4">
      <w:pPr>
        <w:widowControl/>
        <w:jc w:val="left"/>
        <w:rPr>
          <w:rFonts w:ascii="宋体" w:hAnsi="宋体" w:cs="Times New Roman"/>
          <w:b/>
          <w:bCs/>
          <w:kern w:val="44"/>
          <w:sz w:val="32"/>
          <w:szCs w:val="44"/>
        </w:rPr>
      </w:pPr>
      <w:bookmarkStart w:id="10" w:name="_Toc221291495"/>
      <w:bookmarkStart w:id="11" w:name="_Toc211952366"/>
      <w:r>
        <w:rPr>
          <w:rFonts w:hint="eastAsia" w:ascii="宋体" w:hAnsi="宋体" w:cs="Times New Roman"/>
          <w:b/>
          <w:bCs/>
          <w:kern w:val="44"/>
          <w:sz w:val="32"/>
          <w:szCs w:val="44"/>
        </w:rPr>
        <w:br w:type="page"/>
      </w:r>
    </w:p>
    <w:p w14:paraId="6BCA7746">
      <w:pPr>
        <w:pStyle w:val="3"/>
        <w:spacing w:before="0" w:after="156" w:afterLines="50" w:line="360" w:lineRule="auto"/>
        <w:ind w:left="357" w:hanging="357"/>
        <w:jc w:val="center"/>
        <w:rPr>
          <w:rFonts w:ascii="Times New Roman" w:hAnsi="Times New Roman" w:eastAsiaTheme="minorEastAsia"/>
          <w:kern w:val="0"/>
          <w:sz w:val="24"/>
          <w:szCs w:val="24"/>
          <w:lang w:val="zh-CN"/>
        </w:rPr>
      </w:pPr>
      <w:r>
        <w:rPr>
          <w:rFonts w:hint="eastAsia" w:ascii="Times New Roman" w:hAnsi="Times New Roman" w:eastAsiaTheme="minorEastAsia"/>
          <w:kern w:val="0"/>
          <w:sz w:val="24"/>
          <w:szCs w:val="24"/>
          <w:lang w:val="zh-CN"/>
        </w:rPr>
        <w:t>3 基本规定</w:t>
      </w:r>
      <w:bookmarkEnd w:id="10"/>
      <w:bookmarkEnd w:id="11"/>
    </w:p>
    <w:p w14:paraId="350AD62D">
      <w:pPr>
        <w:widowControl/>
        <w:spacing w:after="156" w:afterLines="50" w:line="278" w:lineRule="auto"/>
        <w:jc w:val="center"/>
        <w:outlineLvl w:val="1"/>
        <w:rPr>
          <w:rFonts w:ascii="宋体" w:hAnsi="宋体" w:cs="Times New Roman"/>
          <w:b/>
          <w:bCs/>
          <w:kern w:val="0"/>
          <w:sz w:val="24"/>
          <w:szCs w:val="24"/>
          <w:lang w:bidi="ar"/>
        </w:rPr>
      </w:pPr>
      <w:bookmarkStart w:id="12" w:name="_Toc221291496"/>
      <w:r>
        <w:rPr>
          <w:rFonts w:hint="eastAsia" w:ascii="宋体" w:hAnsi="宋体" w:cs="Times New Roman"/>
          <w:b/>
          <w:bCs/>
          <w:kern w:val="0"/>
          <w:sz w:val="24"/>
          <w:szCs w:val="24"/>
          <w:lang w:bidi="ar"/>
        </w:rPr>
        <w:t>3</w:t>
      </w:r>
      <w:r>
        <w:rPr>
          <w:rFonts w:ascii="宋体" w:hAnsi="宋体" w:cs="Times New Roman"/>
          <w:b/>
          <w:bCs/>
          <w:kern w:val="0"/>
          <w:sz w:val="24"/>
          <w:szCs w:val="24"/>
          <w:lang w:bidi="ar"/>
        </w:rPr>
        <w:t xml:space="preserve">.1 </w:t>
      </w:r>
      <w:r>
        <w:rPr>
          <w:rFonts w:hint="eastAsia" w:ascii="宋体" w:hAnsi="宋体" w:cs="Times New Roman"/>
          <w:b/>
          <w:bCs/>
          <w:kern w:val="0"/>
          <w:sz w:val="24"/>
          <w:szCs w:val="24"/>
          <w:lang w:bidi="ar"/>
        </w:rPr>
        <w:t>工作定位与内容</w:t>
      </w:r>
      <w:bookmarkEnd w:id="12"/>
    </w:p>
    <w:p w14:paraId="19082350">
      <w:pPr>
        <w:widowControl/>
        <w:spacing w:after="156" w:afterLines="50" w:line="278" w:lineRule="auto"/>
        <w:outlineLvl w:val="2"/>
        <w:rPr>
          <w:rFonts w:ascii="宋体" w:hAnsi="宋体" w:cs="宋体"/>
          <w:kern w:val="0"/>
          <w:sz w:val="24"/>
          <w:szCs w:val="24"/>
          <w:lang w:bidi="ar"/>
        </w:rPr>
      </w:pPr>
      <w:r>
        <w:rPr>
          <w:rFonts w:hint="eastAsia" w:ascii="Times New Roman" w:hAnsi="Times New Roman" w:cs="Times New Roman"/>
          <w:b/>
          <w:bCs/>
          <w:sz w:val="24"/>
          <w:szCs w:val="32"/>
          <w:lang w:bidi="ar"/>
        </w:rPr>
        <w:t>3.</w:t>
      </w:r>
      <w:r>
        <w:rPr>
          <w:rFonts w:ascii="Times New Roman" w:hAnsi="Times New Roman" w:cs="Times New Roman"/>
          <w:b/>
          <w:bCs/>
          <w:sz w:val="24"/>
          <w:szCs w:val="32"/>
          <w:lang w:bidi="ar"/>
        </w:rPr>
        <w:t>1</w:t>
      </w:r>
      <w:r>
        <w:rPr>
          <w:rFonts w:hint="eastAsia" w:ascii="Times New Roman" w:hAnsi="Times New Roman" w:cs="Times New Roman"/>
          <w:b/>
          <w:bCs/>
          <w:sz w:val="24"/>
          <w:szCs w:val="32"/>
          <w:lang w:bidi="ar"/>
        </w:rPr>
        <w:t xml:space="preserve">.1 </w:t>
      </w:r>
      <w:r>
        <w:rPr>
          <w:rFonts w:hint="eastAsia" w:ascii="宋体" w:hAnsi="宋体" w:cs="宋体"/>
          <w:kern w:val="0"/>
          <w:sz w:val="24"/>
          <w:szCs w:val="24"/>
          <w:lang w:bidi="ar"/>
        </w:rPr>
        <w:t>城市体检评估工作应围绕城市建设与治理重点领域开展，系统识别城市建设中存在的问题和风险，形成城市体检评估成果，并作为城市更新、规划建设管理等相关工作的技术依据。</w:t>
      </w:r>
    </w:p>
    <w:p w14:paraId="37549B3E">
      <w:pPr>
        <w:widowControl/>
        <w:spacing w:after="156" w:afterLines="50" w:line="278" w:lineRule="auto"/>
        <w:outlineLvl w:val="2"/>
        <w:rPr>
          <w:rFonts w:ascii="宋体" w:hAnsi="宋体" w:cs="宋体"/>
          <w:kern w:val="0"/>
          <w:sz w:val="24"/>
          <w:szCs w:val="24"/>
          <w:lang w:bidi="ar"/>
        </w:rPr>
      </w:pPr>
      <w:bookmarkStart w:id="13" w:name="OLE_LINK1"/>
      <w:r>
        <w:rPr>
          <w:rFonts w:hint="eastAsia" w:ascii="Times New Roman" w:hAnsi="Times New Roman" w:cs="Times New Roman"/>
          <w:b/>
          <w:bCs/>
          <w:sz w:val="24"/>
          <w:szCs w:val="32"/>
          <w:lang w:bidi="ar"/>
        </w:rPr>
        <w:t>3.</w:t>
      </w:r>
      <w:r>
        <w:rPr>
          <w:rFonts w:ascii="Times New Roman" w:hAnsi="Times New Roman" w:cs="Times New Roman"/>
          <w:b/>
          <w:bCs/>
          <w:sz w:val="24"/>
          <w:szCs w:val="32"/>
          <w:lang w:bidi="ar"/>
        </w:rPr>
        <w:t>1</w:t>
      </w:r>
      <w:r>
        <w:rPr>
          <w:rFonts w:hint="eastAsia" w:ascii="Times New Roman" w:hAnsi="Times New Roman" w:cs="Times New Roman"/>
          <w:b/>
          <w:bCs/>
          <w:sz w:val="24"/>
          <w:szCs w:val="32"/>
          <w:lang w:bidi="ar"/>
        </w:rPr>
        <w:t xml:space="preserve">.2 </w:t>
      </w:r>
      <w:r>
        <w:rPr>
          <w:rFonts w:hint="eastAsia" w:ascii="宋体" w:hAnsi="宋体" w:cs="宋体"/>
          <w:kern w:val="0"/>
          <w:sz w:val="24"/>
          <w:szCs w:val="24"/>
          <w:lang w:bidi="ar"/>
        </w:rPr>
        <w:t>开展城市体检评估工作应遵循以下基本原则：</w:t>
      </w:r>
    </w:p>
    <w:p w14:paraId="0C636C6C">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坚持问题导向。应划细城市体检单元，建立涵盖住房、小区（社区）、街区、城区（城市）的多层级体检体系，精准查找群众反映强烈的难点、堵点、痛点问题。</w:t>
      </w:r>
    </w:p>
    <w:p w14:paraId="32D0325B">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2</w:t>
      </w:r>
      <w:r>
        <w:rPr>
          <w:rFonts w:hint="eastAsia" w:ascii="宋体" w:hAnsi="宋体" w:cs="宋体"/>
          <w:kern w:val="0"/>
          <w:sz w:val="24"/>
          <w:szCs w:val="24"/>
          <w:lang w:bidi="ar"/>
        </w:rPr>
        <w:t xml:space="preserve"> 坚持目标导向。应树立城市“有机生命体”理念，围绕产城融合、职住平衡、生态宜居等发展目标，全面排查影响城市竞争力、承载力和可持续发展的短板弱项。</w:t>
      </w:r>
    </w:p>
    <w:p w14:paraId="54CEF4F0">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3</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强化结果应用。应将城市体检作为城市更新的前提和重点，建立健全“发现问题-解决问题-评估效果-巩固提升”的闭环工作机制，科学指导城市更新行动。</w:t>
      </w:r>
    </w:p>
    <w:bookmarkEnd w:id="13"/>
    <w:p w14:paraId="3FCC53D9">
      <w:pPr>
        <w:widowControl/>
        <w:spacing w:after="156" w:afterLines="50" w:line="278" w:lineRule="auto"/>
        <w:outlineLvl w:val="2"/>
        <w:rPr>
          <w:rFonts w:ascii="楷体" w:hAnsi="楷体" w:eastAsia="楷体" w:cs="Times New Roman"/>
          <w:sz w:val="24"/>
          <w:szCs w:val="28"/>
        </w:rPr>
      </w:pPr>
      <w:r>
        <w:rPr>
          <w:rFonts w:ascii="Times New Roman" w:hAnsi="Times New Roman" w:cs="Times New Roman"/>
          <w:b/>
          <w:bCs/>
          <w:sz w:val="24"/>
          <w:szCs w:val="32"/>
          <w:lang w:bidi="ar"/>
        </w:rPr>
        <w:t>3.1.</w:t>
      </w:r>
      <w:r>
        <w:rPr>
          <w:rFonts w:hint="eastAsia" w:ascii="Times New Roman" w:hAnsi="Times New Roman" w:cs="Times New Roman"/>
          <w:b/>
          <w:bCs/>
          <w:sz w:val="24"/>
          <w:szCs w:val="32"/>
          <w:lang w:bidi="ar"/>
        </w:rPr>
        <w:t xml:space="preserve">3 </w:t>
      </w:r>
      <w:r>
        <w:rPr>
          <w:rFonts w:hint="eastAsia" w:ascii="Times New Roman" w:hAnsi="Times New Roman" w:cs="Times New Roman"/>
          <w:bCs/>
          <w:sz w:val="24"/>
          <w:szCs w:val="32"/>
          <w:lang w:bidi="ar"/>
        </w:rPr>
        <w:t>城市体检应精准查找当期突出问题并指导年度实施计划；定期评估应结合国民经济和社会发展规划等周期定期开展，原则上为五年一次，侧重于阶段性成效评价与中长期趋势研判。</w:t>
      </w:r>
    </w:p>
    <w:p w14:paraId="42C6F2A4">
      <w:pPr>
        <w:widowControl/>
        <w:spacing w:after="156" w:afterLines="50" w:line="278" w:lineRule="auto"/>
        <w:outlineLvl w:val="2"/>
        <w:rPr>
          <w:rFonts w:ascii="Times New Roman" w:hAnsi="Times New Roman" w:cs="Times New Roman"/>
          <w:b/>
          <w:bCs/>
          <w:sz w:val="24"/>
          <w:szCs w:val="32"/>
          <w:lang w:bidi="ar"/>
        </w:rPr>
      </w:pPr>
      <w:r>
        <w:rPr>
          <w:rFonts w:ascii="Times New Roman" w:hAnsi="Times New Roman" w:cs="Times New Roman"/>
          <w:b/>
          <w:bCs/>
          <w:sz w:val="24"/>
          <w:szCs w:val="32"/>
          <w:lang w:bidi="ar"/>
        </w:rPr>
        <w:t>3.1.4</w:t>
      </w:r>
      <w:r>
        <w:rPr>
          <w:rFonts w:hint="eastAsia" w:ascii="Times New Roman" w:hAnsi="Times New Roman" w:cs="Times New Roman"/>
          <w:b/>
          <w:bCs/>
          <w:sz w:val="24"/>
          <w:szCs w:val="32"/>
          <w:lang w:bidi="ar"/>
        </w:rPr>
        <w:t xml:space="preserve"> </w:t>
      </w:r>
      <w:r>
        <w:rPr>
          <w:rFonts w:hint="eastAsia" w:ascii="Times New Roman" w:hAnsi="Times New Roman" w:cs="Times New Roman"/>
          <w:bCs/>
          <w:sz w:val="24"/>
          <w:szCs w:val="32"/>
          <w:lang w:bidi="ar"/>
        </w:rPr>
        <w:t>城市在开展城市体检工作时，应编制工作方案，明确体检的范围与对象、工作内容、时序安排、保障措施等内容。</w:t>
      </w:r>
    </w:p>
    <w:p w14:paraId="2CE441B0">
      <w:pPr>
        <w:widowControl/>
        <w:spacing w:after="156" w:afterLines="50" w:line="278" w:lineRule="auto"/>
        <w:jc w:val="center"/>
        <w:outlineLvl w:val="1"/>
        <w:rPr>
          <w:rFonts w:ascii="宋体" w:hAnsi="宋体" w:cs="Times New Roman"/>
          <w:b/>
          <w:bCs/>
          <w:kern w:val="0"/>
          <w:sz w:val="24"/>
          <w:szCs w:val="24"/>
          <w:lang w:bidi="ar"/>
        </w:rPr>
      </w:pPr>
      <w:bookmarkStart w:id="14" w:name="_Toc221291497"/>
      <w:r>
        <w:rPr>
          <w:rFonts w:hint="eastAsia" w:ascii="宋体" w:hAnsi="宋体" w:cs="Times New Roman"/>
          <w:b/>
          <w:bCs/>
          <w:kern w:val="0"/>
          <w:sz w:val="24"/>
          <w:szCs w:val="24"/>
          <w:lang w:bidi="ar"/>
        </w:rPr>
        <w:t>3</w:t>
      </w:r>
      <w:r>
        <w:rPr>
          <w:rFonts w:ascii="宋体" w:hAnsi="宋体" w:cs="Times New Roman"/>
          <w:b/>
          <w:bCs/>
          <w:kern w:val="0"/>
          <w:sz w:val="24"/>
          <w:szCs w:val="24"/>
          <w:lang w:bidi="ar"/>
        </w:rPr>
        <w:t xml:space="preserve">.2 </w:t>
      </w:r>
      <w:r>
        <w:rPr>
          <w:rFonts w:hint="eastAsia" w:ascii="宋体" w:hAnsi="宋体" w:cs="Times New Roman"/>
          <w:b/>
          <w:bCs/>
          <w:kern w:val="0"/>
          <w:sz w:val="24"/>
          <w:szCs w:val="24"/>
          <w:lang w:bidi="ar"/>
        </w:rPr>
        <w:t>体检类型与范围</w:t>
      </w:r>
      <w:bookmarkEnd w:id="14"/>
    </w:p>
    <w:p w14:paraId="6E8BE98E">
      <w:pPr>
        <w:widowControl/>
        <w:spacing w:line="278" w:lineRule="auto"/>
        <w:outlineLvl w:val="2"/>
        <w:rPr>
          <w:rFonts w:ascii="Times New Roman" w:hAnsi="Times New Roman" w:cs="Times New Roman"/>
          <w:sz w:val="24"/>
          <w:szCs w:val="32"/>
        </w:rPr>
      </w:pPr>
      <w:r>
        <w:rPr>
          <w:rFonts w:ascii="Times New Roman" w:hAnsi="Times New Roman" w:cs="Times New Roman"/>
          <w:b/>
          <w:bCs/>
          <w:sz w:val="24"/>
          <w:szCs w:val="32"/>
        </w:rPr>
        <w:t>3.2.1</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城市体检应包括综合体检和专项体检，并应符合以下要求：</w:t>
      </w:r>
    </w:p>
    <w:p w14:paraId="2F0C81F3">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 xml:space="preserve">1 </w:t>
      </w:r>
      <w:r>
        <w:rPr>
          <w:rFonts w:hint="eastAsia" w:ascii="宋体" w:hAnsi="宋体" w:cs="宋体"/>
          <w:kern w:val="0"/>
          <w:sz w:val="24"/>
          <w:szCs w:val="24"/>
          <w:lang w:bidi="ar"/>
        </w:rPr>
        <w:t>综合体检应对城市建设状况进行系统性、整体性分析诊断，原则上以五年为一个周期；</w:t>
      </w:r>
    </w:p>
    <w:p w14:paraId="55934A85">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2</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专项体检应</w:t>
      </w:r>
      <w:r>
        <w:rPr>
          <w:sz w:val="24"/>
          <w:szCs w:val="24"/>
        </w:rPr>
        <w:t>结合综合体检查找出的突出问题或城市更新工作需要，对住房、城市公共服务设施、城市基础设施、历史文化保护传承等专项领域，或者既有小区、社区、老旧街区厂区等</w:t>
      </w:r>
      <w:r>
        <w:rPr>
          <w:rFonts w:hint="eastAsia"/>
          <w:sz w:val="24"/>
          <w:szCs w:val="24"/>
        </w:rPr>
        <w:t>进行分析诊断，</w:t>
      </w:r>
      <w:r>
        <w:rPr>
          <w:sz w:val="24"/>
          <w:szCs w:val="24"/>
        </w:rPr>
        <w:t>片区更新前应当开展专项体检</w:t>
      </w:r>
      <w:r>
        <w:rPr>
          <w:rFonts w:hint="eastAsia" w:ascii="宋体" w:hAnsi="宋体" w:cs="宋体"/>
          <w:kern w:val="0"/>
          <w:sz w:val="24"/>
          <w:szCs w:val="24"/>
          <w:lang w:bidi="ar"/>
        </w:rPr>
        <w:t>；</w:t>
      </w:r>
    </w:p>
    <w:p w14:paraId="4D046A47">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 xml:space="preserve">3 </w:t>
      </w:r>
      <w:r>
        <w:rPr>
          <w:sz w:val="24"/>
          <w:szCs w:val="24"/>
        </w:rPr>
        <w:t>因自然灾害导致房屋和市政基础设施受到损害</w:t>
      </w:r>
      <w:r>
        <w:rPr>
          <w:rFonts w:hint="eastAsia"/>
          <w:sz w:val="24"/>
          <w:szCs w:val="24"/>
        </w:rPr>
        <w:t>的</w:t>
      </w:r>
      <w:r>
        <w:rPr>
          <w:sz w:val="24"/>
          <w:szCs w:val="24"/>
        </w:rPr>
        <w:t>，应当</w:t>
      </w:r>
      <w:r>
        <w:rPr>
          <w:rFonts w:hint="eastAsia"/>
          <w:sz w:val="24"/>
          <w:szCs w:val="24"/>
        </w:rPr>
        <w:t>开展</w:t>
      </w:r>
      <w:r>
        <w:rPr>
          <w:sz w:val="24"/>
          <w:szCs w:val="24"/>
        </w:rPr>
        <w:t>专项体检</w:t>
      </w:r>
      <w:r>
        <w:rPr>
          <w:rFonts w:hint="eastAsia"/>
          <w:sz w:val="24"/>
          <w:szCs w:val="24"/>
        </w:rPr>
        <w:t>；</w:t>
      </w:r>
    </w:p>
    <w:p w14:paraId="66A165EA">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4</w:t>
      </w:r>
      <w:r>
        <w:rPr>
          <w:bCs/>
          <w:sz w:val="24"/>
          <w:szCs w:val="24"/>
        </w:rPr>
        <w:t xml:space="preserve"> </w:t>
      </w:r>
      <w:r>
        <w:rPr>
          <w:rFonts w:hint="eastAsia"/>
          <w:sz w:val="24"/>
          <w:szCs w:val="24"/>
        </w:rPr>
        <w:t>专项体检应与综合体检统筹开展，建立指标衔接、数据互通、成果共享的协同机制。</w:t>
      </w:r>
    </w:p>
    <w:p w14:paraId="712043EB">
      <w:pPr>
        <w:widowControl/>
        <w:spacing w:after="156" w:afterLines="50" w:line="278" w:lineRule="auto"/>
        <w:outlineLvl w:val="2"/>
        <w:rPr>
          <w:rFonts w:ascii="Times New Roman" w:hAnsi="Times New Roman" w:cs="Times New Roman"/>
          <w:b/>
          <w:bCs/>
          <w:sz w:val="24"/>
          <w:szCs w:val="32"/>
        </w:rPr>
      </w:pPr>
      <w:r>
        <w:rPr>
          <w:rFonts w:ascii="Times New Roman" w:hAnsi="Times New Roman" w:cs="Times New Roman"/>
          <w:b/>
          <w:bCs/>
          <w:sz w:val="24"/>
          <w:szCs w:val="32"/>
        </w:rPr>
        <w:t>3.2.2</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综合体检应以城市建成区为基本体检范围，</w:t>
      </w:r>
      <w:r>
        <w:rPr>
          <w:rFonts w:hint="eastAsia" w:ascii="宋体" w:hAnsi="宋体" w:cs="宋体"/>
          <w:kern w:val="0"/>
          <w:sz w:val="24"/>
          <w:szCs w:val="24"/>
          <w:lang w:bidi="ar"/>
        </w:rPr>
        <w:t>应按住房、小区（社区）、街区、城区（城市）等维度展开，各维度体检对象确定和范围划定应符合下列规定：</w:t>
      </w:r>
    </w:p>
    <w:p w14:paraId="0ABA71E0">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1</w:t>
      </w:r>
      <w:r>
        <w:rPr>
          <w:rFonts w:hint="eastAsia" w:ascii="Times New Roman" w:hAnsi="Times New Roman" w:cs="Times New Roman"/>
          <w:bCs/>
          <w:kern w:val="0"/>
          <w:sz w:val="24"/>
          <w:szCs w:val="24"/>
          <w:lang w:bidi="ar"/>
        </w:rPr>
        <w:t xml:space="preserve"> </w:t>
      </w:r>
      <w:r>
        <w:rPr>
          <w:rFonts w:hint="eastAsia" w:ascii="宋体" w:hAnsi="宋体" w:cs="宋体"/>
          <w:kern w:val="0"/>
          <w:sz w:val="24"/>
          <w:szCs w:val="24"/>
          <w:lang w:bidi="ar"/>
        </w:rPr>
        <w:t>住房维度体检对象为各类居住建筑，不包括已拆迁或准备拆迁、经认定的</w:t>
      </w:r>
      <w:r>
        <w:rPr>
          <w:rFonts w:ascii="宋体" w:hAnsi="宋体" w:cs="宋体"/>
          <w:kern w:val="0"/>
          <w:sz w:val="24"/>
          <w:szCs w:val="24"/>
          <w:lang w:bidi="ar"/>
        </w:rPr>
        <w:t>D级危房、</w:t>
      </w:r>
      <w:r>
        <w:rPr>
          <w:rFonts w:hint="eastAsia" w:ascii="宋体" w:hAnsi="宋体" w:cs="宋体"/>
          <w:kern w:val="0"/>
          <w:sz w:val="24"/>
          <w:szCs w:val="24"/>
          <w:lang w:bidi="ar"/>
        </w:rPr>
        <w:t>非住宅楼栋、未经认定但无法进入的危房、在建和未交付住宅，应以小区或社区为统计单元；</w:t>
      </w:r>
    </w:p>
    <w:p w14:paraId="29F3E1C1">
      <w:pPr>
        <w:widowControl/>
        <w:spacing w:after="156" w:afterLines="50" w:line="278" w:lineRule="auto"/>
        <w:ind w:firstLine="420"/>
        <w:rPr>
          <w:rFonts w:ascii="宋体" w:hAnsi="宋体" w:eastAsia="等线" w:cs="宋体"/>
          <w:b/>
          <w:bCs/>
          <w:kern w:val="0"/>
          <w:sz w:val="24"/>
          <w:szCs w:val="24"/>
          <w:lang w:bidi="ar"/>
        </w:rPr>
      </w:pPr>
      <w:r>
        <w:rPr>
          <w:rFonts w:ascii="Times New Roman" w:hAnsi="Times New Roman" w:cs="Times New Roman"/>
          <w:bCs/>
          <w:kern w:val="0"/>
          <w:sz w:val="24"/>
          <w:szCs w:val="24"/>
          <w:lang w:bidi="ar"/>
        </w:rPr>
        <w:t xml:space="preserve">2 </w:t>
      </w:r>
      <w:r>
        <w:rPr>
          <w:rFonts w:hint="eastAsia" w:ascii="宋体" w:hAnsi="宋体" w:cs="宋体"/>
          <w:kern w:val="0"/>
          <w:sz w:val="24"/>
          <w:szCs w:val="24"/>
          <w:lang w:bidi="ar"/>
        </w:rPr>
        <w:t>小区（社区）维度体检对象为居住小区和社区，小区和社区范围划定应以居民步行</w:t>
      </w:r>
      <w:r>
        <w:rPr>
          <w:rFonts w:ascii="宋体" w:hAnsi="宋体" w:cs="宋体"/>
          <w:kern w:val="0"/>
          <w:sz w:val="24"/>
          <w:szCs w:val="24"/>
          <w:lang w:bidi="ar"/>
        </w:rPr>
        <w:t>5min～10min，</w:t>
      </w:r>
      <w:r>
        <w:rPr>
          <w:rFonts w:hint="eastAsia" w:ascii="宋体" w:hAnsi="宋体" w:cs="宋体"/>
          <w:kern w:val="0"/>
          <w:sz w:val="24"/>
          <w:szCs w:val="24"/>
          <w:lang w:bidi="ar"/>
        </w:rPr>
        <w:t>并满足基本生活服务需求为原则，宜结合社区管辖范围、城市干路、支路或用地边界等要素，综合考虑居住人口规模进行划定；</w:t>
      </w:r>
    </w:p>
    <w:p w14:paraId="443B5FEB">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3</w:t>
      </w:r>
      <w:r>
        <w:rPr>
          <w:rFonts w:ascii="Times New Roman" w:hAnsi="Times New Roman" w:cs="Times New Roman"/>
          <w:b/>
          <w:kern w:val="0"/>
          <w:sz w:val="24"/>
          <w:szCs w:val="24"/>
          <w:lang w:bidi="ar"/>
        </w:rPr>
        <w:t xml:space="preserve"> </w:t>
      </w:r>
      <w:r>
        <w:rPr>
          <w:rFonts w:hint="eastAsia" w:ascii="宋体" w:hAnsi="宋体" w:cs="宋体"/>
          <w:kern w:val="0"/>
          <w:sz w:val="24"/>
          <w:szCs w:val="24"/>
          <w:lang w:bidi="ar"/>
        </w:rPr>
        <w:t>街区维度体检对象为街区体检单元，街区体检单元范围划定应以居民步行</w:t>
      </w:r>
      <w:r>
        <w:rPr>
          <w:rFonts w:ascii="宋体" w:hAnsi="宋体" w:cs="宋体"/>
          <w:kern w:val="0"/>
          <w:sz w:val="24"/>
          <w:szCs w:val="24"/>
          <w:lang w:bidi="ar"/>
        </w:rPr>
        <w:t>15min</w:t>
      </w:r>
      <w:r>
        <w:rPr>
          <w:rFonts w:hint="eastAsia" w:ascii="宋体" w:hAnsi="宋体" w:cs="宋体"/>
          <w:kern w:val="0"/>
          <w:sz w:val="24"/>
          <w:szCs w:val="24"/>
          <w:lang w:bidi="ar"/>
        </w:rPr>
        <w:t>，并满足日常物质与文化生活需求为原则，宜结合街道或建制镇行政边界、城市干路、用地边界等要素，综合考虑居住人口规模进行划定；</w:t>
      </w:r>
    </w:p>
    <w:p w14:paraId="43CA643D">
      <w:pPr>
        <w:widowControl/>
        <w:spacing w:after="156" w:afterLines="50" w:line="278" w:lineRule="auto"/>
        <w:ind w:firstLine="420"/>
        <w:rPr>
          <w:rFonts w:ascii="楷体_GB2312" w:hAnsi="楷体" w:eastAsia="楷体_GB2312" w:cs="Times New Roman"/>
          <w:sz w:val="24"/>
          <w:szCs w:val="28"/>
        </w:rPr>
      </w:pPr>
      <w:r>
        <w:rPr>
          <w:rFonts w:hint="eastAsia" w:ascii="Times New Roman" w:hAnsi="Times New Roman" w:cs="Times New Roman"/>
          <w:bCs/>
          <w:kern w:val="0"/>
          <w:sz w:val="24"/>
          <w:szCs w:val="24"/>
          <w:lang w:bidi="ar"/>
        </w:rPr>
        <w:t xml:space="preserve">4 </w:t>
      </w:r>
      <w:r>
        <w:rPr>
          <w:rFonts w:hint="eastAsia" w:ascii="宋体" w:hAnsi="宋体" w:cs="宋体"/>
          <w:kern w:val="0"/>
          <w:sz w:val="24"/>
          <w:szCs w:val="24"/>
          <w:lang w:bidi="ar"/>
        </w:rPr>
        <w:t>城区（城市）维度体检对象为城区，城区范围划定应以建成区为基础，可结合实际需求扩展至市辖区或市域范围。</w:t>
      </w:r>
    </w:p>
    <w:p w14:paraId="588B7512">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3.2.3</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专项体检的体检范围应结合专项领域和城市更新需求综合确定。</w:t>
      </w:r>
    </w:p>
    <w:p w14:paraId="2AF97BCD">
      <w:pPr>
        <w:widowControl/>
        <w:spacing w:after="156" w:afterLines="50" w:line="278" w:lineRule="auto"/>
        <w:jc w:val="center"/>
        <w:outlineLvl w:val="1"/>
        <w:rPr>
          <w:rFonts w:ascii="宋体" w:hAnsi="宋体" w:cs="Times New Roman"/>
          <w:b/>
          <w:bCs/>
          <w:kern w:val="0"/>
          <w:sz w:val="24"/>
          <w:szCs w:val="24"/>
          <w:lang w:bidi="ar"/>
        </w:rPr>
      </w:pPr>
      <w:r>
        <w:rPr>
          <w:rFonts w:ascii="宋体" w:hAnsi="宋体" w:cs="Times New Roman"/>
          <w:b/>
          <w:bCs/>
          <w:kern w:val="0"/>
          <w:sz w:val="24"/>
          <w:szCs w:val="24"/>
          <w:lang w:bidi="ar"/>
        </w:rPr>
        <w:t xml:space="preserve">3.3 </w:t>
      </w:r>
      <w:r>
        <w:rPr>
          <w:rFonts w:hint="eastAsia" w:ascii="宋体" w:hAnsi="宋体" w:cs="Times New Roman"/>
          <w:b/>
          <w:bCs/>
          <w:kern w:val="0"/>
          <w:sz w:val="24"/>
          <w:szCs w:val="24"/>
          <w:lang w:bidi="ar"/>
        </w:rPr>
        <w:t>体检流程与方法</w:t>
      </w:r>
    </w:p>
    <w:p w14:paraId="4C735879">
      <w:pPr>
        <w:widowControl/>
        <w:spacing w:after="160" w:line="278" w:lineRule="auto"/>
        <w:outlineLvl w:val="2"/>
        <w:rPr>
          <w:rFonts w:ascii="Times New Roman" w:hAnsi="Times New Roman" w:cs="Times New Roman"/>
          <w:b/>
          <w:bCs/>
          <w:sz w:val="24"/>
          <w:szCs w:val="32"/>
        </w:rPr>
      </w:pPr>
      <w:r>
        <w:rPr>
          <w:rFonts w:ascii="Times New Roman" w:hAnsi="Times New Roman" w:cs="Times New Roman"/>
          <w:b/>
          <w:bCs/>
          <w:sz w:val="24"/>
          <w:szCs w:val="32"/>
        </w:rPr>
        <w:t>3.3.1</w:t>
      </w:r>
      <w:r>
        <w:rPr>
          <w:rFonts w:hint="eastAsia" w:ascii="Times New Roman" w:hAnsi="Times New Roman" w:cs="Times New Roman"/>
          <w:bCs/>
          <w:sz w:val="24"/>
          <w:szCs w:val="32"/>
        </w:rPr>
        <w:t>城市体检评估应包括工作方案制定、指标体系设置、数据采集、分析诊断、成果编制、成果应用、定期评估、信息平台建设等工作流程。</w:t>
      </w:r>
    </w:p>
    <w:p w14:paraId="5ADF95E2">
      <w:pPr>
        <w:widowControl/>
        <w:spacing w:after="160" w:line="278" w:lineRule="auto"/>
        <w:outlineLvl w:val="2"/>
        <w:rPr>
          <w:rFonts w:ascii="Times New Roman" w:hAnsi="Times New Roman" w:cs="Times New Roman"/>
          <w:b/>
          <w:bCs/>
          <w:sz w:val="24"/>
          <w:szCs w:val="32"/>
        </w:rPr>
      </w:pPr>
      <w:r>
        <w:rPr>
          <w:rFonts w:ascii="Times New Roman" w:hAnsi="Times New Roman" w:cs="Times New Roman"/>
          <w:b/>
          <w:bCs/>
          <w:sz w:val="24"/>
          <w:szCs w:val="32"/>
        </w:rPr>
        <w:t xml:space="preserve">3.3.2 </w:t>
      </w:r>
      <w:r>
        <w:rPr>
          <w:rFonts w:ascii="Times New Roman" w:hAnsi="Times New Roman" w:cs="Times New Roman"/>
          <w:bCs/>
          <w:sz w:val="24"/>
          <w:szCs w:val="32"/>
        </w:rPr>
        <w:t>城市体检可综合采用</w:t>
      </w:r>
      <w:r>
        <w:rPr>
          <w:rFonts w:hint="eastAsia" w:ascii="Times New Roman" w:hAnsi="Times New Roman" w:cs="Times New Roman"/>
          <w:bCs/>
          <w:sz w:val="24"/>
          <w:szCs w:val="32"/>
        </w:rPr>
        <w:t>指标量化分析、现场实地核查、居民问卷调查、座谈访谈、空间大数据分析</w:t>
      </w:r>
      <w:r>
        <w:rPr>
          <w:rFonts w:ascii="Times New Roman" w:hAnsi="Times New Roman" w:cs="Times New Roman"/>
          <w:bCs/>
          <w:sz w:val="24"/>
          <w:szCs w:val="32"/>
        </w:rPr>
        <w:t>等技术方法，做到主客观评价相结合、定量定性分析相结合。</w:t>
      </w:r>
    </w:p>
    <w:p w14:paraId="7CB31D8C">
      <w:pPr>
        <w:widowControl/>
        <w:spacing w:after="160" w:line="278" w:lineRule="auto"/>
        <w:outlineLvl w:val="2"/>
        <w:rPr>
          <w:rFonts w:ascii="Times New Roman" w:hAnsi="Times New Roman" w:cs="Times New Roman"/>
          <w:b/>
          <w:bCs/>
          <w:sz w:val="24"/>
          <w:szCs w:val="32"/>
        </w:rPr>
      </w:pPr>
      <w:r>
        <w:rPr>
          <w:rFonts w:ascii="Times New Roman" w:hAnsi="Times New Roman" w:cs="Times New Roman"/>
          <w:b/>
          <w:bCs/>
          <w:sz w:val="24"/>
          <w:szCs w:val="32"/>
        </w:rPr>
        <w:t xml:space="preserve">3.3.3 </w:t>
      </w:r>
      <w:r>
        <w:rPr>
          <w:rFonts w:ascii="Times New Roman" w:hAnsi="Times New Roman" w:cs="Times New Roman"/>
          <w:bCs/>
          <w:sz w:val="24"/>
          <w:szCs w:val="32"/>
        </w:rPr>
        <w:t>综合体检与专项体检应</w:t>
      </w:r>
      <w:r>
        <w:rPr>
          <w:sz w:val="24"/>
          <w:szCs w:val="24"/>
        </w:rPr>
        <w:t>统筹</w:t>
      </w:r>
      <w:r>
        <w:rPr>
          <w:rFonts w:hint="eastAsia"/>
          <w:sz w:val="24"/>
          <w:szCs w:val="24"/>
        </w:rPr>
        <w:t>工作周期和实施安排</w:t>
      </w:r>
      <w:r>
        <w:rPr>
          <w:sz w:val="24"/>
          <w:szCs w:val="24"/>
        </w:rPr>
        <w:t>，做好调查采集、分析诊断、问题识别及成果应用等环节的衔接</w:t>
      </w:r>
      <w:r>
        <w:rPr>
          <w:rFonts w:ascii="Times New Roman" w:hAnsi="Times New Roman" w:cs="Times New Roman"/>
          <w:bCs/>
          <w:sz w:val="24"/>
          <w:szCs w:val="32"/>
        </w:rPr>
        <w:t>。</w:t>
      </w:r>
    </w:p>
    <w:p w14:paraId="163B9DB1">
      <w:pPr>
        <w:widowControl/>
        <w:spacing w:after="156" w:afterLines="50" w:line="278" w:lineRule="auto"/>
        <w:jc w:val="center"/>
        <w:outlineLvl w:val="1"/>
        <w:rPr>
          <w:rFonts w:ascii="宋体" w:hAnsi="宋体" w:cs="Times New Roman"/>
          <w:b/>
          <w:bCs/>
          <w:kern w:val="0"/>
          <w:sz w:val="24"/>
          <w:szCs w:val="24"/>
          <w:lang w:bidi="ar"/>
        </w:rPr>
      </w:pPr>
      <w:bookmarkStart w:id="15" w:name="_Toc221291498"/>
      <w:r>
        <w:rPr>
          <w:rFonts w:hint="eastAsia" w:ascii="宋体" w:hAnsi="宋体" w:cs="Times New Roman"/>
          <w:b/>
          <w:bCs/>
          <w:kern w:val="0"/>
          <w:sz w:val="24"/>
          <w:szCs w:val="24"/>
          <w:lang w:bidi="ar"/>
        </w:rPr>
        <w:t>3</w:t>
      </w:r>
      <w:r>
        <w:rPr>
          <w:rFonts w:ascii="宋体" w:hAnsi="宋体" w:cs="Times New Roman"/>
          <w:b/>
          <w:bCs/>
          <w:kern w:val="0"/>
          <w:sz w:val="24"/>
          <w:szCs w:val="24"/>
          <w:lang w:bidi="ar"/>
        </w:rPr>
        <w:t xml:space="preserve">.4 </w:t>
      </w:r>
      <w:r>
        <w:rPr>
          <w:rFonts w:hint="eastAsia" w:ascii="宋体" w:hAnsi="宋体" w:cs="Times New Roman"/>
          <w:b/>
          <w:bCs/>
          <w:kern w:val="0"/>
          <w:sz w:val="24"/>
          <w:szCs w:val="24"/>
          <w:lang w:bidi="ar"/>
        </w:rPr>
        <w:t>体检成果与应用</w:t>
      </w:r>
      <w:bookmarkEnd w:id="15"/>
    </w:p>
    <w:p w14:paraId="4DEFE23A">
      <w:pPr>
        <w:widowControl/>
        <w:spacing w:after="160" w:line="278" w:lineRule="auto"/>
        <w:outlineLvl w:val="2"/>
        <w:rPr>
          <w:rFonts w:ascii="Times New Roman" w:hAnsi="Times New Roman" w:cs="Times New Roman"/>
          <w:b/>
          <w:bCs/>
          <w:sz w:val="24"/>
          <w:szCs w:val="32"/>
        </w:rPr>
      </w:pPr>
      <w:r>
        <w:rPr>
          <w:rFonts w:ascii="Times New Roman" w:hAnsi="Times New Roman" w:cs="Times New Roman"/>
          <w:b/>
          <w:bCs/>
          <w:sz w:val="24"/>
          <w:szCs w:val="32"/>
        </w:rPr>
        <w:t>3.4.1</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城市体检应形成体检报告，体检报告应包括文本、图纸、附件，其内容应完整、准确，并应符合下列规定：</w:t>
      </w:r>
    </w:p>
    <w:p w14:paraId="4C7DCDC5">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文本应包括工作概述、指标体系构建情况、指标分析与综合诊断、居民问卷调查结果、问题清单与整治建议清单情况、问题整治情况、治理对策与行动建议等内容；</w:t>
      </w:r>
    </w:p>
    <w:p w14:paraId="0CAA2421">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2</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图纸应包括涉及体检指标要求的相关图纸，应包括但不限于城市体检（建成区）范围图、问题空间位置分布图、设施现状分布图、设施覆盖率分析图等。图纸编制应符合国家现行空间数据与制图标准，统一空间坐标系与底图基准，并根据住房、小区（社区）、街区、城区（城市）等不同维度适配相应的表达深度。专项体检图纸应结合实际需求绘制；</w:t>
      </w:r>
    </w:p>
    <w:p w14:paraId="07C610A2">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3</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附件应包括完整的指标数据表、问题清单、整治建议清单、居民问卷调查报告、专项体检报告等内容。</w:t>
      </w:r>
    </w:p>
    <w:p w14:paraId="77D5CD1C">
      <w:pPr>
        <w:widowControl/>
        <w:spacing w:after="160" w:line="278" w:lineRule="auto"/>
        <w:outlineLvl w:val="2"/>
        <w:rPr>
          <w:rFonts w:ascii="楷体" w:hAnsi="楷体" w:eastAsia="楷体" w:cs="Times New Roman"/>
          <w:sz w:val="24"/>
          <w:szCs w:val="28"/>
        </w:rPr>
      </w:pPr>
      <w:r>
        <w:rPr>
          <w:rFonts w:ascii="Times New Roman" w:hAnsi="Times New Roman" w:cs="Times New Roman"/>
          <w:b/>
          <w:bCs/>
          <w:sz w:val="24"/>
          <w:szCs w:val="32"/>
        </w:rPr>
        <w:t>3.4.2</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城市体检成果应加强全过程质量管控，确保成果客观、真实、可靠。</w:t>
      </w:r>
    </w:p>
    <w:p w14:paraId="7E1221E1">
      <w:pPr>
        <w:widowControl/>
        <w:spacing w:after="160" w:line="278" w:lineRule="auto"/>
        <w:outlineLvl w:val="2"/>
        <w:rPr>
          <w:rFonts w:ascii="Times New Roman" w:hAnsi="Times New Roman" w:cs="Times New Roman"/>
          <w:b/>
          <w:bCs/>
          <w:sz w:val="24"/>
          <w:szCs w:val="32"/>
        </w:rPr>
      </w:pPr>
      <w:r>
        <w:rPr>
          <w:rFonts w:ascii="Times New Roman" w:hAnsi="Times New Roman" w:cs="Times New Roman"/>
          <w:b/>
          <w:bCs/>
          <w:sz w:val="24"/>
          <w:szCs w:val="32"/>
        </w:rPr>
        <w:t>3.4.3</w:t>
      </w:r>
      <w:r>
        <w:rPr>
          <w:rFonts w:hint="eastAsia" w:ascii="Times New Roman" w:hAnsi="Times New Roman" w:cs="Times New Roman"/>
          <w:b/>
          <w:bCs/>
          <w:sz w:val="24"/>
          <w:szCs w:val="32"/>
        </w:rPr>
        <w:t xml:space="preserve"> </w:t>
      </w:r>
      <w:r>
        <w:rPr>
          <w:rFonts w:ascii="Times New Roman" w:hAnsi="Times New Roman" w:cs="Times New Roman"/>
          <w:bCs/>
          <w:sz w:val="24"/>
          <w:szCs w:val="32"/>
        </w:rPr>
        <w:t>城市体检</w:t>
      </w:r>
      <w:r>
        <w:rPr>
          <w:rFonts w:hint="eastAsia" w:ascii="Times New Roman" w:hAnsi="Times New Roman" w:cs="Times New Roman"/>
          <w:bCs/>
          <w:sz w:val="24"/>
          <w:szCs w:val="32"/>
        </w:rPr>
        <w:t>成果应用应符合以下要求：</w:t>
      </w:r>
    </w:p>
    <w:p w14:paraId="58EAB3B1">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1</w:t>
      </w:r>
      <w:r>
        <w:rPr>
          <w:rFonts w:ascii="宋体" w:hAnsi="宋体" w:cs="宋体"/>
          <w:bCs/>
          <w:kern w:val="0"/>
          <w:sz w:val="24"/>
          <w:szCs w:val="24"/>
          <w:lang w:bidi="ar"/>
        </w:rPr>
        <w:t xml:space="preserve"> </w:t>
      </w:r>
      <w:r>
        <w:rPr>
          <w:sz w:val="24"/>
          <w:szCs w:val="24"/>
        </w:rPr>
        <w:t>综合体检成果应作为编制实施城市更新规划、年度实施计划、城市更新项目库的依据</w:t>
      </w:r>
      <w:r>
        <w:rPr>
          <w:rFonts w:hint="eastAsia"/>
          <w:sz w:val="24"/>
          <w:szCs w:val="24"/>
        </w:rPr>
        <w:t>；</w:t>
      </w:r>
    </w:p>
    <w:p w14:paraId="49F247D7">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2</w:t>
      </w:r>
      <w:r>
        <w:rPr>
          <w:rFonts w:ascii="宋体" w:hAnsi="宋体" w:cs="宋体"/>
          <w:bCs/>
          <w:kern w:val="0"/>
          <w:sz w:val="24"/>
          <w:szCs w:val="24"/>
          <w:lang w:bidi="ar"/>
        </w:rPr>
        <w:t xml:space="preserve"> </w:t>
      </w:r>
      <w:r>
        <w:rPr>
          <w:sz w:val="24"/>
          <w:szCs w:val="24"/>
        </w:rPr>
        <w:t>专项体检成果</w:t>
      </w:r>
      <w:r>
        <w:rPr>
          <w:rFonts w:hint="eastAsia"/>
          <w:sz w:val="24"/>
          <w:szCs w:val="24"/>
        </w:rPr>
        <w:t>应充分应用于</w:t>
      </w:r>
      <w:r>
        <w:rPr>
          <w:sz w:val="24"/>
          <w:szCs w:val="24"/>
        </w:rPr>
        <w:t>片区的策划与更新、项目方案的编制实施</w:t>
      </w:r>
      <w:r>
        <w:rPr>
          <w:rFonts w:hint="eastAsia"/>
          <w:sz w:val="24"/>
          <w:szCs w:val="24"/>
        </w:rPr>
        <w:t>；</w:t>
      </w:r>
    </w:p>
    <w:p w14:paraId="2272DAA6">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3</w:t>
      </w:r>
      <w:r>
        <w:rPr>
          <w:rFonts w:ascii="宋体" w:hAnsi="宋体" w:cs="宋体"/>
          <w:bCs/>
          <w:kern w:val="0"/>
          <w:sz w:val="24"/>
          <w:szCs w:val="24"/>
          <w:lang w:bidi="ar"/>
        </w:rPr>
        <w:t xml:space="preserve"> </w:t>
      </w:r>
      <w:r>
        <w:rPr>
          <w:rFonts w:hint="eastAsia" w:ascii="宋体" w:hAnsi="宋体" w:cs="宋体"/>
          <w:kern w:val="0"/>
          <w:sz w:val="24"/>
          <w:szCs w:val="24"/>
          <w:lang w:bidi="ar"/>
        </w:rPr>
        <w:t>城市体检成果宜作为编制国民经济与社会发展规划、政府工作报告及相关专项规划，制定城市更新相关政策，系统推进城市功能完善与品质提升的重要参考。</w:t>
      </w:r>
    </w:p>
    <w:p w14:paraId="2FE0EFEA">
      <w:pPr>
        <w:widowControl/>
        <w:spacing w:after="160" w:line="278" w:lineRule="auto"/>
        <w:outlineLvl w:val="2"/>
        <w:rPr>
          <w:rFonts w:ascii="Times New Roman" w:hAnsi="Times New Roman" w:cs="Times New Roman"/>
          <w:sz w:val="24"/>
          <w:szCs w:val="32"/>
          <w:lang w:bidi="ar"/>
        </w:rPr>
      </w:pPr>
      <w:r>
        <w:rPr>
          <w:rFonts w:ascii="Times New Roman" w:hAnsi="Times New Roman" w:cs="Times New Roman"/>
          <w:b/>
          <w:bCs/>
          <w:sz w:val="24"/>
          <w:szCs w:val="32"/>
          <w:lang w:bidi="ar"/>
        </w:rPr>
        <w:t>3.4.4</w:t>
      </w:r>
      <w:r>
        <w:rPr>
          <w:rFonts w:hint="eastAsia" w:ascii="Times New Roman" w:hAnsi="Times New Roman" w:cs="Times New Roman"/>
          <w:b/>
          <w:bCs/>
          <w:sz w:val="24"/>
          <w:szCs w:val="32"/>
          <w:lang w:bidi="ar"/>
        </w:rPr>
        <w:t xml:space="preserve"> </w:t>
      </w:r>
      <w:r>
        <w:rPr>
          <w:rFonts w:ascii="Times New Roman" w:hAnsi="Times New Roman" w:cs="Times New Roman"/>
          <w:sz w:val="24"/>
          <w:szCs w:val="32"/>
          <w:lang w:bidi="ar"/>
        </w:rPr>
        <w:t>城市体检工作</w:t>
      </w:r>
      <w:r>
        <w:rPr>
          <w:rFonts w:hint="eastAsia" w:ascii="Times New Roman" w:hAnsi="Times New Roman" w:cs="Times New Roman"/>
          <w:sz w:val="24"/>
          <w:szCs w:val="32"/>
          <w:lang w:bidi="ar"/>
        </w:rPr>
        <w:t>应</w:t>
      </w:r>
      <w:r>
        <w:rPr>
          <w:rFonts w:ascii="Times New Roman" w:hAnsi="Times New Roman" w:cs="Times New Roman"/>
          <w:sz w:val="24"/>
          <w:szCs w:val="32"/>
          <w:lang w:bidi="ar"/>
        </w:rPr>
        <w:t>对</w:t>
      </w:r>
      <w:r>
        <w:rPr>
          <w:rFonts w:hint="eastAsia" w:ascii="Times New Roman" w:hAnsi="Times New Roman" w:cs="Times New Roman"/>
          <w:sz w:val="24"/>
          <w:szCs w:val="32"/>
          <w:lang w:bidi="ar"/>
        </w:rPr>
        <w:t>上一周期问题整治情况进行分析评价</w:t>
      </w:r>
      <w:r>
        <w:rPr>
          <w:rFonts w:ascii="Times New Roman" w:hAnsi="Times New Roman" w:cs="Times New Roman"/>
          <w:sz w:val="24"/>
          <w:szCs w:val="32"/>
          <w:lang w:bidi="ar"/>
        </w:rPr>
        <w:t>，并形成独立章节纳入体检报告</w:t>
      </w:r>
      <w:r>
        <w:rPr>
          <w:rFonts w:hint="eastAsia" w:ascii="Times New Roman" w:hAnsi="Times New Roman" w:cs="Times New Roman"/>
          <w:sz w:val="24"/>
          <w:szCs w:val="32"/>
          <w:lang w:bidi="ar"/>
        </w:rPr>
        <w:t>，问题整治情况章节</w:t>
      </w:r>
      <w:r>
        <w:rPr>
          <w:rFonts w:ascii="Times New Roman" w:hAnsi="Times New Roman" w:cs="Times New Roman"/>
          <w:sz w:val="24"/>
          <w:szCs w:val="32"/>
          <w:lang w:bidi="ar"/>
        </w:rPr>
        <w:t>应包括下列内容：</w:t>
      </w:r>
    </w:p>
    <w:p w14:paraId="2877257C">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应分析体检发现问题的整治情况，针对限时解决和持续推进问题，分别调查已完成整治的数量占应整治数量的百分比；</w:t>
      </w:r>
    </w:p>
    <w:p w14:paraId="331DA9FD">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2</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宜分析既有整治措施的有效性及目标达成度；</w:t>
      </w:r>
    </w:p>
    <w:p w14:paraId="708EADB1">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3</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宜对整治进度较慢或未采取整治措施的问题提出整治建议，持续推进问题解决。</w:t>
      </w:r>
    </w:p>
    <w:p w14:paraId="53385467">
      <w:pPr>
        <w:widowControl/>
        <w:spacing w:after="156" w:afterLines="50" w:line="278" w:lineRule="auto"/>
        <w:jc w:val="center"/>
        <w:outlineLvl w:val="1"/>
        <w:rPr>
          <w:rFonts w:ascii="宋体" w:hAnsi="宋体" w:cs="Times New Roman"/>
          <w:b/>
          <w:bCs/>
          <w:kern w:val="0"/>
          <w:sz w:val="24"/>
          <w:szCs w:val="24"/>
          <w:lang w:bidi="ar"/>
        </w:rPr>
      </w:pPr>
      <w:bookmarkStart w:id="16" w:name="_Toc221291499"/>
      <w:r>
        <w:rPr>
          <w:rFonts w:hint="eastAsia" w:ascii="宋体" w:hAnsi="宋体" w:cs="Times New Roman"/>
          <w:b/>
          <w:bCs/>
          <w:kern w:val="0"/>
          <w:sz w:val="24"/>
          <w:szCs w:val="24"/>
          <w:lang w:bidi="ar"/>
        </w:rPr>
        <w:t>3</w:t>
      </w:r>
      <w:r>
        <w:rPr>
          <w:rFonts w:ascii="宋体" w:hAnsi="宋体" w:cs="Times New Roman"/>
          <w:b/>
          <w:bCs/>
          <w:kern w:val="0"/>
          <w:sz w:val="24"/>
          <w:szCs w:val="24"/>
          <w:lang w:bidi="ar"/>
        </w:rPr>
        <w:t xml:space="preserve">.5 </w:t>
      </w:r>
      <w:r>
        <w:rPr>
          <w:rFonts w:hint="eastAsia" w:ascii="宋体" w:hAnsi="宋体" w:cs="Times New Roman"/>
          <w:b/>
          <w:bCs/>
          <w:kern w:val="0"/>
          <w:sz w:val="24"/>
          <w:szCs w:val="24"/>
          <w:lang w:bidi="ar"/>
        </w:rPr>
        <w:t>定期评估与信息化建设</w:t>
      </w:r>
      <w:bookmarkEnd w:id="16"/>
    </w:p>
    <w:p w14:paraId="7988E63B">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3.5.1</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定期评估应以建立健全常态化、规范化的城市体检评估机制为目标，定期评估的内容可包括城市建设发展情况的定期评估、城市体检工作开展情况的定期评估和更新实施成效等。</w:t>
      </w:r>
    </w:p>
    <w:p w14:paraId="76A83FB4">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3.5.2</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定期评估报告应包括本周期城市体检工作概况、城市建设发展情况与城市体检工作回顾、对下一周期城市建设和体检工作的对策建议。定期评估成果可作为编制国民经济和社会发展五年规划、城市更新专项规划等的参考。</w:t>
      </w:r>
    </w:p>
    <w:p w14:paraId="23204009">
      <w:pPr>
        <w:widowControl/>
        <w:spacing w:after="160" w:line="278" w:lineRule="auto"/>
        <w:outlineLvl w:val="2"/>
        <w:rPr>
          <w:rFonts w:ascii="Segoe UI" w:hAnsi="Segoe UI" w:cs="Segoe UI"/>
          <w:color w:val="0F1115"/>
          <w:shd w:val="clear" w:color="auto" w:fill="FFFFFF"/>
        </w:rPr>
      </w:pPr>
      <w:r>
        <w:rPr>
          <w:rFonts w:hint="eastAsia" w:ascii="Times New Roman" w:hAnsi="Times New Roman" w:cs="Times New Roman"/>
          <w:b/>
          <w:bCs/>
          <w:sz w:val="24"/>
          <w:szCs w:val="32"/>
        </w:rPr>
        <w:t>3.</w:t>
      </w:r>
      <w:r>
        <w:rPr>
          <w:rFonts w:ascii="Times New Roman" w:hAnsi="Times New Roman" w:cs="Times New Roman"/>
          <w:b/>
          <w:bCs/>
          <w:sz w:val="24"/>
          <w:szCs w:val="32"/>
        </w:rPr>
        <w:t>5.3</w:t>
      </w:r>
      <w:r>
        <w:rPr>
          <w:rFonts w:hint="eastAsia" w:ascii="Times New Roman" w:hAnsi="Times New Roman" w:cs="Times New Roman"/>
          <w:b/>
          <w:bCs/>
          <w:sz w:val="24"/>
          <w:szCs w:val="32"/>
        </w:rPr>
        <w:t xml:space="preserve"> </w:t>
      </w:r>
      <w:r>
        <w:rPr>
          <w:rFonts w:ascii="Segoe UI" w:hAnsi="Segoe UI" w:cs="Segoe UI"/>
          <w:color w:val="0F1115"/>
          <w:sz w:val="24"/>
          <w:szCs w:val="24"/>
          <w:shd w:val="clear" w:color="auto" w:fill="FFFFFF"/>
        </w:rPr>
        <w:t>城市体检评估应建立统一、高效的信息化工作体系</w:t>
      </w:r>
      <w:r>
        <w:rPr>
          <w:rFonts w:hint="eastAsia" w:ascii="Segoe UI" w:hAnsi="Segoe UI" w:cs="Segoe UI"/>
          <w:color w:val="0F1115"/>
          <w:sz w:val="24"/>
          <w:szCs w:val="24"/>
          <w:shd w:val="clear" w:color="auto" w:fill="FFFFFF"/>
        </w:rPr>
        <w:t>，建立健全城市体检评估数据库与信息平台</w:t>
      </w:r>
      <w:r>
        <w:rPr>
          <w:rFonts w:ascii="Segoe UI" w:hAnsi="Segoe UI" w:cs="Segoe UI"/>
          <w:color w:val="0F1115"/>
          <w:sz w:val="24"/>
          <w:szCs w:val="24"/>
          <w:shd w:val="clear" w:color="auto" w:fill="FFFFFF"/>
        </w:rPr>
        <w:t>。</w:t>
      </w:r>
      <w:r>
        <w:rPr>
          <w:rFonts w:hint="eastAsia" w:ascii="Segoe UI" w:hAnsi="Segoe UI" w:cs="Segoe UI"/>
          <w:color w:val="0F1115"/>
          <w:sz w:val="24"/>
          <w:szCs w:val="24"/>
          <w:shd w:val="clear" w:color="auto" w:fill="FFFFFF"/>
        </w:rPr>
        <w:t>该体系须确保数据采集的规范性、评估过程的协同性、成果管理的动态性以及信息应用的安全性，为体检评估的常态化、精准化与智能化提供基础支撑。数据库与信息平台的具体建设要求，应符合本标准第</w:t>
      </w:r>
      <w:r>
        <w:rPr>
          <w:rFonts w:cs="Segoe UI" w:asciiTheme="majorEastAsia" w:hAnsiTheme="majorEastAsia" w:eastAsiaTheme="majorEastAsia"/>
          <w:color w:val="0F1115"/>
          <w:sz w:val="24"/>
          <w:szCs w:val="24"/>
          <w:shd w:val="clear" w:color="auto" w:fill="FFFFFF"/>
        </w:rPr>
        <w:t>7</w:t>
      </w:r>
      <w:r>
        <w:rPr>
          <w:rFonts w:hint="eastAsia" w:ascii="Segoe UI" w:hAnsi="Segoe UI" w:cs="Segoe UI"/>
          <w:color w:val="0F1115"/>
          <w:sz w:val="24"/>
          <w:szCs w:val="24"/>
          <w:shd w:val="clear" w:color="auto" w:fill="FFFFFF"/>
        </w:rPr>
        <w:t>章的规定。</w:t>
      </w:r>
      <w:r>
        <w:rPr>
          <w:rFonts w:ascii="Segoe UI" w:hAnsi="Segoe UI" w:cs="Segoe UI"/>
          <w:color w:val="0F1115"/>
          <w:shd w:val="clear" w:color="auto" w:fill="FFFFFF"/>
        </w:rPr>
        <w:br w:type="page"/>
      </w:r>
    </w:p>
    <w:p w14:paraId="269085FE">
      <w:pPr>
        <w:pStyle w:val="3"/>
        <w:spacing w:before="0" w:after="156" w:afterLines="50" w:line="360" w:lineRule="auto"/>
        <w:ind w:left="357" w:hanging="357"/>
        <w:jc w:val="center"/>
        <w:rPr>
          <w:rFonts w:ascii="Times New Roman" w:hAnsi="Times New Roman" w:eastAsiaTheme="minorEastAsia"/>
          <w:kern w:val="0"/>
          <w:sz w:val="24"/>
          <w:szCs w:val="24"/>
          <w:lang w:val="zh-CN"/>
        </w:rPr>
      </w:pPr>
      <w:bookmarkStart w:id="17" w:name="_Toc211952368"/>
      <w:bookmarkStart w:id="18" w:name="_Toc221291500"/>
      <w:r>
        <w:rPr>
          <w:rFonts w:hint="eastAsia" w:ascii="Times New Roman" w:hAnsi="Times New Roman" w:eastAsiaTheme="minorEastAsia"/>
          <w:kern w:val="0"/>
          <w:sz w:val="24"/>
          <w:szCs w:val="24"/>
          <w:lang w:val="zh-CN"/>
        </w:rPr>
        <w:t>4 指标体系</w:t>
      </w:r>
      <w:bookmarkEnd w:id="17"/>
      <w:bookmarkEnd w:id="18"/>
    </w:p>
    <w:p w14:paraId="2341C611">
      <w:pPr>
        <w:widowControl/>
        <w:spacing w:after="160" w:line="278" w:lineRule="auto"/>
        <w:outlineLvl w:val="2"/>
        <w:rPr>
          <w:rFonts w:ascii="Segoe UI" w:hAnsi="Segoe UI" w:cs="Segoe UI"/>
          <w:sz w:val="24"/>
          <w:szCs w:val="32"/>
          <w:shd w:val="clear" w:color="auto" w:fill="FFFFFF"/>
        </w:rPr>
      </w:pPr>
      <w:r>
        <w:rPr>
          <w:rFonts w:ascii="Times New Roman" w:hAnsi="Times New Roman" w:cs="Times New Roman"/>
          <w:b/>
          <w:bCs/>
          <w:sz w:val="24"/>
          <w:szCs w:val="32"/>
        </w:rPr>
        <w:t>4.0.1</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城市体检指标体系应坚持以人民为中心发展理念，坚持目标导向与问题导向，涵盖建设创新、宜居、韧性、美丽、文明、智慧城市等方面，</w:t>
      </w:r>
      <w:bookmarkStart w:id="19" w:name="OLE_LINK2"/>
      <w:bookmarkStart w:id="20" w:name="OLE_LINK3"/>
      <w:r>
        <w:rPr>
          <w:rFonts w:hint="eastAsia" w:ascii="Times New Roman" w:hAnsi="Times New Roman" w:cs="Times New Roman"/>
          <w:bCs/>
          <w:sz w:val="24"/>
          <w:szCs w:val="32"/>
        </w:rPr>
        <w:t>形成以基础指标为核心、特色指标为补充的指标体系框架</w:t>
      </w:r>
      <w:bookmarkEnd w:id="19"/>
      <w:bookmarkEnd w:id="20"/>
      <w:r>
        <w:rPr>
          <w:rFonts w:hint="eastAsia" w:ascii="Times New Roman" w:hAnsi="Times New Roman" w:cs="Times New Roman"/>
          <w:bCs/>
          <w:sz w:val="24"/>
          <w:szCs w:val="32"/>
        </w:rPr>
        <w:t>。</w:t>
      </w:r>
      <w:r>
        <w:rPr>
          <w:rFonts w:hint="eastAsia" w:ascii="Segoe UI" w:hAnsi="Segoe UI" w:cs="Segoe UI"/>
          <w:sz w:val="24"/>
          <w:szCs w:val="32"/>
          <w:shd w:val="clear" w:color="auto" w:fill="FFFFFF"/>
        </w:rPr>
        <w:t>城市体检指标体系应根据城市发展阶段与治理需求动态优化。</w:t>
      </w:r>
    </w:p>
    <w:p w14:paraId="5B64E029">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4.0.2</w:t>
      </w:r>
      <w:r>
        <w:rPr>
          <w:rFonts w:hint="eastAsia" w:ascii="Times New Roman" w:hAnsi="Times New Roman" w:cs="Times New Roman"/>
          <w:b/>
          <w:bCs/>
          <w:sz w:val="24"/>
          <w:szCs w:val="32"/>
        </w:rPr>
        <w:t xml:space="preserve"> </w:t>
      </w:r>
      <w:r>
        <w:rPr>
          <w:rFonts w:ascii="Segoe UI" w:hAnsi="Segoe UI" w:cs="Segoe UI"/>
          <w:color w:val="0F1115"/>
          <w:sz w:val="24"/>
          <w:szCs w:val="24"/>
          <w:shd w:val="clear" w:color="auto" w:fill="FFFFFF"/>
        </w:rPr>
        <w:t>城市体检指标设置应遵循科学性、系统性和可操作性原则。指标数据应具备可量化、可</w:t>
      </w:r>
      <w:r>
        <w:rPr>
          <w:rFonts w:hint="eastAsia" w:ascii="Segoe UI" w:hAnsi="Segoe UI" w:cs="Segoe UI"/>
          <w:color w:val="0F1115"/>
          <w:sz w:val="24"/>
          <w:szCs w:val="24"/>
          <w:shd w:val="clear" w:color="auto" w:fill="FFFFFF"/>
        </w:rPr>
        <w:t>感知</w:t>
      </w:r>
      <w:r>
        <w:rPr>
          <w:rFonts w:ascii="Segoe UI" w:hAnsi="Segoe UI" w:cs="Segoe UI"/>
          <w:color w:val="0F1115"/>
          <w:sz w:val="24"/>
          <w:szCs w:val="24"/>
          <w:shd w:val="clear" w:color="auto" w:fill="FFFFFF"/>
        </w:rPr>
        <w:t>、可</w:t>
      </w:r>
      <w:r>
        <w:rPr>
          <w:rFonts w:hint="eastAsia" w:ascii="Segoe UI" w:hAnsi="Segoe UI" w:cs="Segoe UI"/>
          <w:color w:val="0F1115"/>
          <w:sz w:val="24"/>
          <w:szCs w:val="24"/>
          <w:shd w:val="clear" w:color="auto" w:fill="FFFFFF"/>
        </w:rPr>
        <w:t>评价</w:t>
      </w:r>
      <w:r>
        <w:rPr>
          <w:rFonts w:ascii="Segoe UI" w:hAnsi="Segoe UI" w:cs="Segoe UI"/>
          <w:color w:val="0F1115"/>
          <w:sz w:val="24"/>
          <w:szCs w:val="24"/>
          <w:shd w:val="clear" w:color="auto" w:fill="FFFFFF"/>
        </w:rPr>
        <w:t>的特性</w:t>
      </w:r>
      <w:r>
        <w:rPr>
          <w:rFonts w:hint="eastAsia" w:ascii="Segoe UI" w:hAnsi="Segoe UI" w:cs="Segoe UI"/>
          <w:color w:val="0F1115"/>
          <w:sz w:val="24"/>
          <w:szCs w:val="24"/>
          <w:shd w:val="clear" w:color="auto" w:fill="FFFFFF"/>
        </w:rPr>
        <w:t>，并支持动态监测与周期性评价</w:t>
      </w:r>
      <w:r>
        <w:rPr>
          <w:rFonts w:ascii="Segoe UI" w:hAnsi="Segoe UI" w:cs="Segoe UI"/>
          <w:color w:val="0F1115"/>
          <w:sz w:val="24"/>
          <w:szCs w:val="24"/>
          <w:shd w:val="clear" w:color="auto" w:fill="FFFFFF"/>
        </w:rPr>
        <w:t>。</w:t>
      </w:r>
    </w:p>
    <w:p w14:paraId="34FFD93D">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4.0.3</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城市体检指标应包括指标名称、体检内容、计算方法、阈值标准及数据来源等核心要素。</w:t>
      </w:r>
    </w:p>
    <w:p w14:paraId="50EC712B">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4</w:t>
      </w:r>
      <w:r>
        <w:rPr>
          <w:rFonts w:hint="eastAsia" w:ascii="Times New Roman" w:hAnsi="Times New Roman" w:cs="Times New Roman"/>
          <w:b/>
          <w:bCs/>
          <w:sz w:val="24"/>
          <w:szCs w:val="32"/>
        </w:rPr>
        <w:t>.0.</w:t>
      </w:r>
      <w:r>
        <w:rPr>
          <w:rFonts w:ascii="Times New Roman" w:hAnsi="Times New Roman" w:cs="Times New Roman"/>
          <w:b/>
          <w:bCs/>
          <w:sz w:val="24"/>
          <w:szCs w:val="32"/>
        </w:rPr>
        <w:t>4</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指标阈值应根据国家与行业标准、上位规划目标、城市发展定位、历史演进趋势和相关工作目标要求科学设定，可根据城市规模、发展阶段与地域特征进行差异化确定或动态调整</w:t>
      </w:r>
      <w:r>
        <w:rPr>
          <w:rFonts w:hint="eastAsia" w:ascii="Times New Roman" w:hAnsi="Times New Roman" w:cs="Times New Roman"/>
          <w:bCs/>
          <w:sz w:val="24"/>
          <w:szCs w:val="32"/>
        </w:rPr>
        <w:t>，并应符合下列规定：</w:t>
      </w:r>
    </w:p>
    <w:p w14:paraId="4283011D">
      <w:pPr>
        <w:spacing w:after="16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ascii="宋体" w:hAnsi="宋体" w:cs="宋体"/>
          <w:bCs/>
          <w:kern w:val="0"/>
          <w:sz w:val="24"/>
          <w:szCs w:val="24"/>
          <w:lang w:bidi="ar"/>
        </w:rPr>
        <w:t xml:space="preserve"> </w:t>
      </w:r>
      <w:r>
        <w:rPr>
          <w:rFonts w:hint="eastAsia" w:ascii="宋体" w:hAnsi="宋体" w:cs="宋体"/>
          <w:kern w:val="0"/>
          <w:sz w:val="24"/>
          <w:szCs w:val="24"/>
          <w:lang w:bidi="ar"/>
        </w:rPr>
        <w:t>应以国家、行业和地方现行标准规范与政策文件为基本依据；</w:t>
      </w:r>
    </w:p>
    <w:p w14:paraId="5B24D392">
      <w:pPr>
        <w:spacing w:after="16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2</w:t>
      </w:r>
      <w:r>
        <w:rPr>
          <w:rFonts w:ascii="宋体" w:hAnsi="宋体" w:cs="宋体"/>
          <w:bCs/>
          <w:kern w:val="0"/>
          <w:sz w:val="24"/>
          <w:szCs w:val="24"/>
          <w:lang w:bidi="ar"/>
        </w:rPr>
        <w:t xml:space="preserve"> </w:t>
      </w:r>
      <w:r>
        <w:rPr>
          <w:rFonts w:hint="eastAsia" w:ascii="宋体" w:hAnsi="宋体" w:cs="宋体"/>
          <w:kern w:val="0"/>
          <w:sz w:val="24"/>
          <w:szCs w:val="24"/>
          <w:lang w:bidi="ar"/>
        </w:rPr>
        <w:t>应与城市发展目标和上位规划相衔接；</w:t>
      </w:r>
    </w:p>
    <w:p w14:paraId="31661EB5">
      <w:pPr>
        <w:spacing w:after="16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3</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宜结合城市及所在区域特点，与发展功能定位相适应；</w:t>
      </w:r>
    </w:p>
    <w:p w14:paraId="0B3FAFB6">
      <w:pPr>
        <w:spacing w:after="16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4</w:t>
      </w:r>
      <w:r>
        <w:rPr>
          <w:rFonts w:ascii="宋体" w:hAnsi="宋体" w:cs="宋体"/>
          <w:bCs/>
          <w:kern w:val="0"/>
          <w:sz w:val="24"/>
          <w:szCs w:val="24"/>
          <w:lang w:bidi="ar"/>
        </w:rPr>
        <w:t xml:space="preserve"> </w:t>
      </w:r>
      <w:r>
        <w:rPr>
          <w:rFonts w:hint="eastAsia" w:ascii="宋体" w:hAnsi="宋体" w:cs="宋体"/>
          <w:kern w:val="0"/>
          <w:sz w:val="24"/>
          <w:szCs w:val="24"/>
          <w:lang w:bidi="ar"/>
        </w:rPr>
        <w:t>宜参考对标城市数据和城市自身历史数据进行校准与优化。</w:t>
      </w:r>
    </w:p>
    <w:p w14:paraId="6A1D31F5">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4.0.5</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基础指标应覆盖住房、小区（社区）、街区、城区（城市）等维度，统筹设置衡量设施数量、建设质量与运营效能的指标，并应符合下列规定：</w:t>
      </w:r>
    </w:p>
    <w:p w14:paraId="474FDD78">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ascii="宋体" w:hAnsi="宋体" w:cs="宋体"/>
          <w:bCs/>
          <w:kern w:val="0"/>
          <w:sz w:val="24"/>
          <w:szCs w:val="24"/>
          <w:lang w:bidi="ar"/>
        </w:rPr>
        <w:t xml:space="preserve"> </w:t>
      </w:r>
      <w:r>
        <w:rPr>
          <w:rFonts w:hint="eastAsia" w:ascii="宋体" w:hAnsi="宋体" w:cs="宋体"/>
          <w:kern w:val="0"/>
          <w:sz w:val="24"/>
          <w:szCs w:val="24"/>
          <w:lang w:bidi="ar"/>
        </w:rPr>
        <w:t>住房维度指标应关注安全耐久、功能完备、绿色智能等方面，宜设置评价房屋结构安全、围护安全、使用功能、节能改造、数字化改造等内容的指标；</w:t>
      </w:r>
    </w:p>
    <w:p w14:paraId="40B77FC3">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2</w:t>
      </w:r>
      <w:r>
        <w:rPr>
          <w:rFonts w:ascii="宋体" w:hAnsi="宋体" w:cs="宋体"/>
          <w:bCs/>
          <w:kern w:val="0"/>
          <w:sz w:val="24"/>
          <w:szCs w:val="24"/>
          <w:lang w:bidi="ar"/>
        </w:rPr>
        <w:t xml:space="preserve"> </w:t>
      </w:r>
      <w:r>
        <w:rPr>
          <w:rFonts w:hint="eastAsia" w:ascii="宋体" w:hAnsi="宋体" w:cs="宋体"/>
          <w:kern w:val="0"/>
          <w:sz w:val="24"/>
          <w:szCs w:val="24"/>
          <w:lang w:bidi="ar"/>
        </w:rPr>
        <w:t>小区（社区）维度应关注设施完善、环境宜居、管理健全等方面，宜设置评价小区社区服务设施配置、小区环境品质、物业管理水平等内容的指标；</w:t>
      </w:r>
    </w:p>
    <w:p w14:paraId="27A0497B">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3</w:t>
      </w:r>
      <w:r>
        <w:rPr>
          <w:rFonts w:ascii="宋体" w:hAnsi="宋体" w:cs="宋体"/>
          <w:bCs/>
          <w:kern w:val="0"/>
          <w:sz w:val="24"/>
          <w:szCs w:val="24"/>
          <w:lang w:bidi="ar"/>
        </w:rPr>
        <w:t xml:space="preserve"> </w:t>
      </w:r>
      <w:r>
        <w:rPr>
          <w:rFonts w:hint="eastAsia" w:ascii="宋体" w:hAnsi="宋体" w:cs="宋体"/>
          <w:kern w:val="0"/>
          <w:sz w:val="24"/>
          <w:szCs w:val="24"/>
          <w:lang w:bidi="ar"/>
        </w:rPr>
        <w:t>街区维度应关注功能完善、整洁有序、特色活力等方面，宜设置评价</w:t>
      </w:r>
      <w:r>
        <w:rPr>
          <w:rFonts w:ascii="宋体" w:hAnsi="宋体" w:cs="宋体"/>
          <w:kern w:val="0"/>
          <w:sz w:val="24"/>
          <w:szCs w:val="24"/>
          <w:lang w:bidi="ar"/>
        </w:rPr>
        <w:t>公共服务设施覆盖</w:t>
      </w:r>
      <w:r>
        <w:rPr>
          <w:rFonts w:hint="eastAsia" w:ascii="宋体" w:hAnsi="宋体" w:cs="宋体"/>
          <w:kern w:val="0"/>
          <w:sz w:val="24"/>
          <w:szCs w:val="24"/>
          <w:lang w:bidi="ar"/>
        </w:rPr>
        <w:t>率</w:t>
      </w:r>
      <w:r>
        <w:rPr>
          <w:rFonts w:ascii="宋体" w:hAnsi="宋体" w:cs="宋体"/>
          <w:kern w:val="0"/>
          <w:sz w:val="24"/>
          <w:szCs w:val="24"/>
          <w:lang w:bidi="ar"/>
        </w:rPr>
        <w:t>、街道环境整治、老旧街区更新改造</w:t>
      </w:r>
      <w:r>
        <w:rPr>
          <w:rFonts w:hint="eastAsia" w:ascii="宋体" w:hAnsi="宋体" w:cs="宋体"/>
          <w:kern w:val="0"/>
          <w:sz w:val="24"/>
          <w:szCs w:val="24"/>
          <w:lang w:bidi="ar"/>
        </w:rPr>
        <w:t>需求</w:t>
      </w:r>
      <w:r>
        <w:rPr>
          <w:rFonts w:ascii="宋体" w:hAnsi="宋体" w:cs="宋体"/>
          <w:kern w:val="0"/>
          <w:sz w:val="24"/>
          <w:szCs w:val="24"/>
          <w:lang w:bidi="ar"/>
        </w:rPr>
        <w:t>等</w:t>
      </w:r>
      <w:r>
        <w:rPr>
          <w:rFonts w:hint="eastAsia" w:ascii="宋体" w:hAnsi="宋体" w:cs="宋体"/>
          <w:kern w:val="0"/>
          <w:sz w:val="24"/>
          <w:szCs w:val="24"/>
          <w:lang w:bidi="ar"/>
        </w:rPr>
        <w:t>内容的指标</w:t>
      </w:r>
      <w:r>
        <w:rPr>
          <w:rFonts w:ascii="宋体" w:hAnsi="宋体" w:cs="宋体"/>
          <w:kern w:val="0"/>
          <w:sz w:val="24"/>
          <w:szCs w:val="24"/>
          <w:lang w:bidi="ar"/>
        </w:rPr>
        <w:t>；</w:t>
      </w:r>
    </w:p>
    <w:p w14:paraId="72F10B4C">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4</w:t>
      </w:r>
      <w:r>
        <w:rPr>
          <w:rFonts w:ascii="宋体" w:hAnsi="宋体" w:cs="宋体"/>
          <w:bCs/>
          <w:kern w:val="0"/>
          <w:sz w:val="24"/>
          <w:szCs w:val="24"/>
          <w:lang w:bidi="ar"/>
        </w:rPr>
        <w:t xml:space="preserve"> </w:t>
      </w:r>
      <w:r>
        <w:rPr>
          <w:rFonts w:hint="eastAsia" w:ascii="宋体" w:hAnsi="宋体" w:cs="宋体"/>
          <w:kern w:val="0"/>
          <w:sz w:val="24"/>
          <w:szCs w:val="24"/>
          <w:lang w:bidi="ar"/>
        </w:rPr>
        <w:t>城区（城市）维度应关注生态宜居、历史文化保护传承、产城融合、安全韧性、智慧高效等方面，宜设置城市基础设施与公共服务设施建设水平、历史文化保护传承、保障性住房建设、防洪排涝能力、应急避难场所建设、城市运行管理服务平台建设等内容的指标；</w:t>
      </w:r>
    </w:p>
    <w:p w14:paraId="073FE8BD">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5</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基础指标应具备通用性和稳定性，便于对比分析。</w:t>
      </w:r>
    </w:p>
    <w:p w14:paraId="120B8EFD">
      <w:pPr>
        <w:widowControl/>
        <w:spacing w:after="156" w:afterLines="50" w:line="278" w:lineRule="auto"/>
        <w:outlineLvl w:val="2"/>
        <w:rPr>
          <w:rFonts w:ascii="宋体" w:hAnsi="宋体" w:cs="宋体"/>
          <w:kern w:val="0"/>
          <w:sz w:val="24"/>
          <w:szCs w:val="24"/>
          <w:lang w:bidi="ar"/>
        </w:rPr>
      </w:pPr>
      <w:r>
        <w:rPr>
          <w:rFonts w:ascii="Times New Roman" w:hAnsi="Times New Roman" w:cs="Times New Roman"/>
          <w:b/>
          <w:bCs/>
          <w:sz w:val="24"/>
          <w:szCs w:val="32"/>
          <w:lang w:bidi="ar"/>
        </w:rPr>
        <w:t>4.0.6</w:t>
      </w:r>
      <w:r>
        <w:rPr>
          <w:rFonts w:hint="eastAsia" w:ascii="宋体" w:hAnsi="宋体" w:cs="宋体"/>
          <w:kern w:val="0"/>
          <w:sz w:val="24"/>
          <w:szCs w:val="24"/>
          <w:lang w:bidi="ar"/>
        </w:rPr>
        <w:t>特色指标应结合城市实际情况因地制宜设置，特色指标的选取应符合以下要求：</w:t>
      </w:r>
    </w:p>
    <w:p w14:paraId="382F3B5B">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1</w:t>
      </w:r>
      <w:r>
        <w:rPr>
          <w:rFonts w:ascii="宋体" w:hAnsi="宋体" w:cs="宋体"/>
          <w:bCs/>
          <w:kern w:val="0"/>
          <w:sz w:val="24"/>
          <w:szCs w:val="24"/>
          <w:lang w:bidi="ar"/>
        </w:rPr>
        <w:t xml:space="preserve"> </w:t>
      </w:r>
      <w:r>
        <w:rPr>
          <w:rFonts w:ascii="宋体" w:hAnsi="宋体" w:cs="宋体"/>
          <w:kern w:val="0"/>
          <w:sz w:val="24"/>
          <w:szCs w:val="24"/>
          <w:lang w:bidi="ar"/>
        </w:rPr>
        <w:t>应结合城市发展定位、地方特色、</w:t>
      </w:r>
      <w:r>
        <w:rPr>
          <w:rFonts w:hint="eastAsia" w:ascii="宋体" w:hAnsi="宋体" w:cs="宋体"/>
          <w:kern w:val="0"/>
          <w:sz w:val="24"/>
          <w:szCs w:val="24"/>
          <w:lang w:bidi="ar"/>
        </w:rPr>
        <w:t>城市更新需求和</w:t>
      </w:r>
      <w:r>
        <w:rPr>
          <w:rFonts w:ascii="宋体" w:hAnsi="宋体" w:cs="宋体"/>
          <w:kern w:val="0"/>
          <w:sz w:val="24"/>
          <w:szCs w:val="24"/>
          <w:lang w:bidi="ar"/>
        </w:rPr>
        <w:t>近期重点工作</w:t>
      </w:r>
      <w:r>
        <w:rPr>
          <w:rFonts w:hint="eastAsia" w:ascii="宋体" w:hAnsi="宋体" w:cs="宋体"/>
          <w:kern w:val="0"/>
          <w:sz w:val="24"/>
          <w:szCs w:val="24"/>
          <w:lang w:bidi="ar"/>
        </w:rPr>
        <w:t>确定</w:t>
      </w:r>
      <w:r>
        <w:rPr>
          <w:rFonts w:ascii="宋体" w:hAnsi="宋体" w:cs="宋体"/>
          <w:kern w:val="0"/>
          <w:sz w:val="24"/>
          <w:szCs w:val="24"/>
          <w:lang w:bidi="ar"/>
        </w:rPr>
        <w:t>；</w:t>
      </w:r>
    </w:p>
    <w:p w14:paraId="122FB562">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2</w:t>
      </w:r>
      <w:r>
        <w:rPr>
          <w:rFonts w:ascii="宋体" w:hAnsi="宋体" w:cs="宋体"/>
          <w:bCs/>
          <w:kern w:val="0"/>
          <w:sz w:val="24"/>
          <w:szCs w:val="24"/>
          <w:lang w:bidi="ar"/>
        </w:rPr>
        <w:t xml:space="preserve"> </w:t>
      </w:r>
      <w:r>
        <w:rPr>
          <w:rFonts w:ascii="宋体" w:hAnsi="宋体" w:cs="宋体"/>
          <w:kern w:val="0"/>
          <w:sz w:val="24"/>
          <w:szCs w:val="24"/>
          <w:lang w:bidi="ar"/>
        </w:rPr>
        <w:t>宜优先选用城市发展监测与绩效</w:t>
      </w:r>
      <w:r>
        <w:rPr>
          <w:rFonts w:hint="eastAsia" w:ascii="宋体" w:hAnsi="宋体" w:cs="宋体"/>
          <w:kern w:val="0"/>
          <w:sz w:val="24"/>
          <w:szCs w:val="24"/>
          <w:lang w:bidi="ar"/>
        </w:rPr>
        <w:t>评价</w:t>
      </w:r>
      <w:r>
        <w:rPr>
          <w:rFonts w:ascii="宋体" w:hAnsi="宋体" w:cs="宋体"/>
          <w:kern w:val="0"/>
          <w:sz w:val="24"/>
          <w:szCs w:val="24"/>
          <w:lang w:bidi="ar"/>
        </w:rPr>
        <w:t>中常用的成熟指标；</w:t>
      </w:r>
    </w:p>
    <w:p w14:paraId="21D32BCF">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3</w:t>
      </w:r>
      <w:r>
        <w:rPr>
          <w:rFonts w:ascii="宋体" w:hAnsi="宋体" w:cs="宋体"/>
          <w:bCs/>
          <w:kern w:val="0"/>
          <w:sz w:val="24"/>
          <w:szCs w:val="24"/>
          <w:lang w:bidi="ar"/>
        </w:rPr>
        <w:t xml:space="preserve"> </w:t>
      </w:r>
      <w:r>
        <w:rPr>
          <w:rFonts w:ascii="宋体" w:hAnsi="宋体" w:cs="宋体"/>
          <w:kern w:val="0"/>
          <w:sz w:val="24"/>
          <w:szCs w:val="24"/>
          <w:lang w:bidi="ar"/>
        </w:rPr>
        <w:t>宜针对</w:t>
      </w:r>
      <w:bookmarkStart w:id="21" w:name="OLE_LINK12"/>
      <w:bookmarkStart w:id="22" w:name="OLE_LINK13"/>
      <w:r>
        <w:rPr>
          <w:rFonts w:hint="eastAsia" w:ascii="宋体" w:hAnsi="宋体" w:cs="宋体"/>
          <w:kern w:val="0"/>
          <w:sz w:val="24"/>
          <w:szCs w:val="24"/>
          <w:lang w:bidi="ar"/>
        </w:rPr>
        <w:t>上一周期</w:t>
      </w:r>
      <w:bookmarkEnd w:id="21"/>
      <w:bookmarkEnd w:id="22"/>
      <w:r>
        <w:rPr>
          <w:rFonts w:ascii="宋体" w:hAnsi="宋体" w:cs="宋体"/>
          <w:kern w:val="0"/>
          <w:sz w:val="24"/>
          <w:szCs w:val="24"/>
          <w:lang w:bidi="ar"/>
        </w:rPr>
        <w:t>整治工作</w:t>
      </w:r>
      <w:r>
        <w:rPr>
          <w:rFonts w:hint="eastAsia" w:ascii="宋体" w:hAnsi="宋体" w:cs="宋体"/>
          <w:kern w:val="0"/>
          <w:sz w:val="24"/>
          <w:szCs w:val="24"/>
          <w:lang w:bidi="ar"/>
        </w:rPr>
        <w:t>和</w:t>
      </w:r>
      <w:r>
        <w:rPr>
          <w:rFonts w:ascii="宋体" w:hAnsi="宋体" w:cs="宋体"/>
          <w:kern w:val="0"/>
          <w:sz w:val="24"/>
          <w:szCs w:val="24"/>
          <w:lang w:bidi="ar"/>
        </w:rPr>
        <w:t>更新项目实施成效设置整治成效类指标。</w:t>
      </w:r>
    </w:p>
    <w:p w14:paraId="0B5BCBB6">
      <w:pPr>
        <w:widowControl/>
        <w:spacing w:after="156" w:afterLines="50" w:line="278" w:lineRule="auto"/>
        <w:outlineLvl w:val="2"/>
        <w:rPr>
          <w:rFonts w:ascii="Times New Roman" w:hAnsi="Times New Roman" w:cs="Times New Roman"/>
          <w:sz w:val="24"/>
          <w:szCs w:val="32"/>
          <w:lang w:bidi="ar"/>
        </w:rPr>
      </w:pPr>
      <w:r>
        <w:rPr>
          <w:rFonts w:ascii="Times New Roman" w:hAnsi="Times New Roman" w:cs="Times New Roman"/>
          <w:b/>
          <w:bCs/>
          <w:sz w:val="24"/>
          <w:szCs w:val="32"/>
          <w:lang w:bidi="ar"/>
        </w:rPr>
        <w:t>4.0.</w:t>
      </w:r>
      <w:r>
        <w:rPr>
          <w:rFonts w:hint="eastAsia" w:ascii="Times New Roman" w:hAnsi="Times New Roman" w:cs="Times New Roman"/>
          <w:b/>
          <w:bCs/>
          <w:sz w:val="24"/>
          <w:szCs w:val="32"/>
          <w:lang w:bidi="ar"/>
        </w:rPr>
        <w:t xml:space="preserve">7 </w:t>
      </w:r>
      <w:r>
        <w:rPr>
          <w:rFonts w:hint="eastAsia" w:ascii="Times New Roman" w:hAnsi="Times New Roman" w:cs="Times New Roman"/>
          <w:sz w:val="24"/>
          <w:szCs w:val="32"/>
          <w:lang w:bidi="ar"/>
        </w:rPr>
        <w:t>特色指标应定期动态调整，结合体检结果与城市发展建设重点，对特色指标的针对性、有效性和数据可得性进行评价。</w:t>
      </w:r>
    </w:p>
    <w:p w14:paraId="7B7AE300">
      <w:pPr>
        <w:widowControl/>
        <w:spacing w:after="156" w:afterLines="50" w:line="278" w:lineRule="auto"/>
        <w:outlineLvl w:val="2"/>
        <w:rPr>
          <w:rFonts w:ascii="Times New Roman" w:hAnsi="Times New Roman" w:cs="Times New Roman"/>
          <w:b/>
          <w:bCs/>
          <w:sz w:val="24"/>
          <w:szCs w:val="32"/>
          <w:lang w:bidi="ar"/>
        </w:rPr>
      </w:pPr>
      <w:r>
        <w:rPr>
          <w:rFonts w:ascii="Times New Roman" w:hAnsi="Times New Roman" w:cs="Times New Roman"/>
          <w:b/>
          <w:bCs/>
          <w:sz w:val="24"/>
          <w:szCs w:val="32"/>
          <w:lang w:bidi="ar"/>
        </w:rPr>
        <w:t>4.0.8</w:t>
      </w:r>
      <w:r>
        <w:rPr>
          <w:rFonts w:hint="eastAsia" w:ascii="Times New Roman" w:hAnsi="Times New Roman" w:cs="Times New Roman"/>
          <w:b/>
          <w:bCs/>
          <w:sz w:val="24"/>
          <w:szCs w:val="32"/>
          <w:lang w:bidi="ar"/>
        </w:rPr>
        <w:t xml:space="preserve"> </w:t>
      </w:r>
      <w:r>
        <w:rPr>
          <w:sz w:val="24"/>
          <w:szCs w:val="24"/>
        </w:rPr>
        <w:t>专项体检指标</w:t>
      </w:r>
      <w:r>
        <w:rPr>
          <w:rFonts w:hint="eastAsia"/>
          <w:sz w:val="24"/>
          <w:szCs w:val="24"/>
        </w:rPr>
        <w:t>应</w:t>
      </w:r>
      <w:r>
        <w:rPr>
          <w:sz w:val="24"/>
          <w:szCs w:val="24"/>
        </w:rPr>
        <w:t>根据更新改造内容和实际工作需要设置</w:t>
      </w:r>
      <w:r>
        <w:rPr>
          <w:rFonts w:hint="eastAsia"/>
          <w:sz w:val="24"/>
          <w:szCs w:val="24"/>
        </w:rPr>
        <w:t>。</w:t>
      </w:r>
      <w:r>
        <w:rPr>
          <w:sz w:val="24"/>
          <w:szCs w:val="24"/>
        </w:rPr>
        <w:t>因自然灾害导致房屋和市政基础设施受到损害</w:t>
      </w:r>
      <w:r>
        <w:rPr>
          <w:rFonts w:hint="eastAsia"/>
          <w:sz w:val="24"/>
          <w:szCs w:val="24"/>
        </w:rPr>
        <w:t>时开展的</w:t>
      </w:r>
      <w:r>
        <w:rPr>
          <w:sz w:val="24"/>
          <w:szCs w:val="24"/>
        </w:rPr>
        <w:t>专项体检，</w:t>
      </w:r>
      <w:r>
        <w:rPr>
          <w:rFonts w:hint="eastAsia"/>
          <w:sz w:val="24"/>
          <w:szCs w:val="24"/>
        </w:rPr>
        <w:t>应</w:t>
      </w:r>
      <w:r>
        <w:rPr>
          <w:sz w:val="24"/>
          <w:szCs w:val="24"/>
        </w:rPr>
        <w:t>从房屋和市政基础设施的受损情况、运行功能和安全风险等方面设置指标</w:t>
      </w:r>
      <w:r>
        <w:rPr>
          <w:rFonts w:hint="eastAsia"/>
          <w:sz w:val="24"/>
          <w:szCs w:val="24"/>
        </w:rPr>
        <w:t>体系</w:t>
      </w:r>
      <w:r>
        <w:rPr>
          <w:sz w:val="24"/>
          <w:szCs w:val="24"/>
        </w:rPr>
        <w:t>。</w:t>
      </w:r>
    </w:p>
    <w:p w14:paraId="73F14480">
      <w:pPr>
        <w:spacing w:after="160" w:line="278" w:lineRule="auto"/>
        <w:ind w:firstLine="420"/>
        <w:rPr>
          <w:rFonts w:ascii="楷体" w:hAnsi="楷体" w:eastAsia="楷体" w:cs="Times New Roman"/>
          <w:szCs w:val="22"/>
        </w:rPr>
      </w:pPr>
      <w:r>
        <w:rPr>
          <w:rFonts w:ascii="楷体" w:hAnsi="楷体" w:eastAsia="楷体" w:cs="Times New Roman"/>
          <w:szCs w:val="22"/>
        </w:rPr>
        <w:br w:type="page"/>
      </w:r>
    </w:p>
    <w:p w14:paraId="07FB388C">
      <w:pPr>
        <w:pStyle w:val="3"/>
        <w:spacing w:before="0" w:after="156" w:afterLines="50" w:line="360" w:lineRule="auto"/>
        <w:ind w:left="357" w:hanging="357"/>
        <w:jc w:val="center"/>
        <w:rPr>
          <w:rFonts w:ascii="Times New Roman" w:hAnsi="Times New Roman" w:eastAsiaTheme="minorEastAsia"/>
          <w:kern w:val="0"/>
          <w:sz w:val="24"/>
          <w:szCs w:val="24"/>
          <w:lang w:val="zh-CN"/>
        </w:rPr>
      </w:pPr>
      <w:bookmarkStart w:id="23" w:name="_Toc221291501"/>
      <w:bookmarkStart w:id="24" w:name="_Toc211952369"/>
      <w:r>
        <w:rPr>
          <w:rFonts w:hint="eastAsia" w:ascii="Times New Roman" w:hAnsi="Times New Roman" w:eastAsiaTheme="minorEastAsia"/>
          <w:kern w:val="0"/>
          <w:sz w:val="24"/>
          <w:szCs w:val="24"/>
          <w:lang w:val="zh-CN"/>
        </w:rPr>
        <w:t>5 数据采集</w:t>
      </w:r>
      <w:bookmarkEnd w:id="23"/>
      <w:bookmarkEnd w:id="24"/>
    </w:p>
    <w:p w14:paraId="6CAD2DB9">
      <w:pPr>
        <w:widowControl/>
        <w:spacing w:after="156" w:afterLines="50" w:line="278" w:lineRule="auto"/>
        <w:jc w:val="center"/>
        <w:outlineLvl w:val="1"/>
        <w:rPr>
          <w:rFonts w:ascii="宋体" w:hAnsi="宋体" w:cs="Times New Roman"/>
          <w:b/>
          <w:bCs/>
          <w:kern w:val="0"/>
          <w:sz w:val="24"/>
          <w:szCs w:val="24"/>
          <w:lang w:bidi="ar"/>
        </w:rPr>
      </w:pPr>
      <w:bookmarkStart w:id="25" w:name="_Toc221291502"/>
      <w:r>
        <w:rPr>
          <w:rFonts w:ascii="宋体" w:hAnsi="宋体" w:cs="Times New Roman"/>
          <w:b/>
          <w:bCs/>
          <w:kern w:val="0"/>
          <w:sz w:val="24"/>
          <w:szCs w:val="24"/>
          <w:lang w:bidi="ar"/>
        </w:rPr>
        <w:t xml:space="preserve">5.1 </w:t>
      </w:r>
      <w:r>
        <w:rPr>
          <w:rFonts w:hint="eastAsia" w:ascii="宋体" w:hAnsi="宋体" w:cs="Times New Roman"/>
          <w:b/>
          <w:bCs/>
          <w:kern w:val="0"/>
          <w:sz w:val="24"/>
          <w:szCs w:val="24"/>
          <w:lang w:bidi="ar"/>
        </w:rPr>
        <w:t>基本规定</w:t>
      </w:r>
      <w:bookmarkEnd w:id="25"/>
    </w:p>
    <w:p w14:paraId="62036D21">
      <w:pPr>
        <w:widowControl/>
        <w:spacing w:after="160" w:line="278" w:lineRule="auto"/>
        <w:outlineLvl w:val="2"/>
        <w:rPr>
          <w:rFonts w:ascii="Times New Roman" w:hAnsi="Times New Roman" w:cs="Times New Roman"/>
          <w:bCs/>
          <w:sz w:val="24"/>
          <w:szCs w:val="32"/>
          <w:lang w:bidi="ar"/>
        </w:rPr>
      </w:pPr>
      <w:r>
        <w:rPr>
          <w:rFonts w:ascii="Times New Roman" w:hAnsi="Times New Roman" w:cs="Times New Roman"/>
          <w:b/>
          <w:bCs/>
          <w:sz w:val="24"/>
          <w:szCs w:val="32"/>
          <w:lang w:bidi="ar"/>
        </w:rPr>
        <w:t>5.1.1</w:t>
      </w:r>
      <w:r>
        <w:rPr>
          <w:rFonts w:hint="eastAsia" w:ascii="Times New Roman" w:hAnsi="Times New Roman" w:cs="Times New Roman"/>
          <w:b/>
          <w:bCs/>
          <w:sz w:val="24"/>
          <w:szCs w:val="32"/>
          <w:lang w:bidi="ar"/>
        </w:rPr>
        <w:t xml:space="preserve"> </w:t>
      </w:r>
      <w:r>
        <w:rPr>
          <w:rFonts w:hint="eastAsia" w:ascii="Times New Roman" w:hAnsi="Times New Roman" w:cs="Times New Roman"/>
          <w:bCs/>
          <w:sz w:val="24"/>
          <w:szCs w:val="32"/>
          <w:lang w:bidi="ar"/>
        </w:rPr>
        <w:t>数据采集应包括指标数据采集和居民问卷调查等内容。</w:t>
      </w:r>
    </w:p>
    <w:p w14:paraId="1E588232">
      <w:pPr>
        <w:widowControl/>
        <w:spacing w:after="160" w:line="278" w:lineRule="auto"/>
        <w:outlineLvl w:val="2"/>
        <w:rPr>
          <w:rFonts w:ascii="Times New Roman" w:hAnsi="Times New Roman" w:cs="Times New Roman"/>
          <w:bCs/>
          <w:sz w:val="24"/>
          <w:szCs w:val="32"/>
          <w:lang w:bidi="ar"/>
        </w:rPr>
      </w:pPr>
      <w:r>
        <w:rPr>
          <w:rFonts w:ascii="Times New Roman" w:hAnsi="Times New Roman" w:cs="Times New Roman"/>
          <w:b/>
          <w:bCs/>
          <w:sz w:val="24"/>
          <w:szCs w:val="32"/>
        </w:rPr>
        <w:t>5.1.2</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lang w:bidi="ar"/>
        </w:rPr>
        <w:t>指标</w:t>
      </w:r>
      <w:r>
        <w:rPr>
          <w:rFonts w:ascii="Times New Roman" w:hAnsi="Times New Roman" w:cs="Times New Roman"/>
          <w:bCs/>
          <w:sz w:val="24"/>
          <w:szCs w:val="32"/>
          <w:lang w:bidi="ar"/>
        </w:rPr>
        <w:t>数据采集范围</w:t>
      </w:r>
      <w:r>
        <w:rPr>
          <w:rFonts w:hint="eastAsia" w:ascii="Times New Roman" w:hAnsi="Times New Roman" w:cs="Times New Roman"/>
          <w:bCs/>
          <w:sz w:val="24"/>
          <w:szCs w:val="32"/>
          <w:lang w:bidi="ar"/>
        </w:rPr>
        <w:t>与居民问卷调查范围应</w:t>
      </w:r>
      <w:r>
        <w:rPr>
          <w:rFonts w:ascii="Times New Roman" w:hAnsi="Times New Roman" w:cs="Times New Roman"/>
          <w:bCs/>
          <w:sz w:val="24"/>
          <w:szCs w:val="32"/>
          <w:lang w:bidi="ar"/>
        </w:rPr>
        <w:t>与城市体检范围保持一致。</w:t>
      </w:r>
    </w:p>
    <w:p w14:paraId="39CEDF9E">
      <w:pPr>
        <w:widowControl/>
        <w:spacing w:after="156" w:afterLines="50" w:line="278" w:lineRule="auto"/>
        <w:jc w:val="center"/>
        <w:outlineLvl w:val="1"/>
        <w:rPr>
          <w:rFonts w:ascii="宋体" w:hAnsi="宋体" w:cs="Times New Roman"/>
          <w:b/>
          <w:bCs/>
          <w:kern w:val="0"/>
          <w:sz w:val="24"/>
          <w:szCs w:val="24"/>
          <w:lang w:bidi="ar"/>
        </w:rPr>
      </w:pPr>
      <w:bookmarkStart w:id="26" w:name="_Toc199319082"/>
      <w:bookmarkStart w:id="27" w:name="_Toc221291503"/>
      <w:bookmarkStart w:id="28" w:name="_Toc211952370"/>
      <w:r>
        <w:rPr>
          <w:rFonts w:ascii="宋体" w:hAnsi="宋体" w:cs="Times New Roman"/>
          <w:b/>
          <w:bCs/>
          <w:kern w:val="0"/>
          <w:sz w:val="24"/>
          <w:szCs w:val="24"/>
          <w:lang w:bidi="ar"/>
        </w:rPr>
        <w:t>5</w:t>
      </w:r>
      <w:r>
        <w:rPr>
          <w:rFonts w:hint="eastAsia" w:ascii="宋体" w:hAnsi="宋体" w:cs="Times New Roman"/>
          <w:b/>
          <w:bCs/>
          <w:kern w:val="0"/>
          <w:sz w:val="24"/>
          <w:szCs w:val="24"/>
          <w:lang w:bidi="ar"/>
        </w:rPr>
        <w:t>.</w:t>
      </w:r>
      <w:r>
        <w:rPr>
          <w:rFonts w:ascii="宋体" w:hAnsi="宋体" w:cs="Times New Roman"/>
          <w:b/>
          <w:bCs/>
          <w:kern w:val="0"/>
          <w:sz w:val="24"/>
          <w:szCs w:val="24"/>
          <w:lang w:bidi="ar"/>
        </w:rPr>
        <w:t>2</w:t>
      </w:r>
      <w:r>
        <w:rPr>
          <w:rFonts w:hint="eastAsia" w:ascii="宋体" w:hAnsi="宋体" w:cs="Times New Roman"/>
          <w:b/>
          <w:bCs/>
          <w:kern w:val="0"/>
          <w:sz w:val="24"/>
          <w:szCs w:val="24"/>
          <w:lang w:bidi="ar"/>
        </w:rPr>
        <w:t xml:space="preserve"> 指标数据采集</w:t>
      </w:r>
      <w:bookmarkEnd w:id="26"/>
      <w:bookmarkEnd w:id="27"/>
      <w:bookmarkEnd w:id="28"/>
    </w:p>
    <w:p w14:paraId="3B1E9CE2">
      <w:pPr>
        <w:widowControl/>
        <w:spacing w:after="156" w:afterLines="50" w:line="278" w:lineRule="auto"/>
        <w:outlineLvl w:val="2"/>
        <w:rPr>
          <w:rFonts w:ascii="Times New Roman" w:hAnsi="Times New Roman" w:cs="Times New Roman"/>
          <w:sz w:val="24"/>
          <w:szCs w:val="32"/>
          <w:lang w:bidi="ar"/>
        </w:rPr>
      </w:pPr>
      <w:r>
        <w:rPr>
          <w:rFonts w:ascii="Times New Roman" w:hAnsi="Times New Roman" w:cs="Times New Roman"/>
          <w:b/>
          <w:bCs/>
          <w:sz w:val="24"/>
          <w:szCs w:val="32"/>
          <w:lang w:bidi="ar"/>
        </w:rPr>
        <w:t>5.2.1</w:t>
      </w:r>
      <w:r>
        <w:rPr>
          <w:rFonts w:hint="eastAsia" w:ascii="Times New Roman" w:hAnsi="Times New Roman" w:cs="Times New Roman"/>
          <w:b/>
          <w:bCs/>
          <w:sz w:val="24"/>
          <w:szCs w:val="32"/>
          <w:lang w:bidi="ar"/>
        </w:rPr>
        <w:t xml:space="preserve"> </w:t>
      </w:r>
      <w:r>
        <w:rPr>
          <w:rFonts w:hint="eastAsia" w:ascii="Times New Roman" w:hAnsi="Times New Roman" w:cs="Times New Roman"/>
          <w:sz w:val="24"/>
          <w:szCs w:val="32"/>
          <w:lang w:bidi="ar"/>
        </w:rPr>
        <w:t>数据采集应坚持实事求是，采集数据应准确、完整，真实，反映实际情况，并应符合以下要求：</w:t>
      </w:r>
    </w:p>
    <w:p w14:paraId="6D021E80">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应充分使用已有权威数据资源，避免重复调查；</w:t>
      </w:r>
    </w:p>
    <w:p w14:paraId="471677F5">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2</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当数据</w:t>
      </w:r>
      <w:r>
        <w:rPr>
          <w:rFonts w:ascii="宋体" w:hAnsi="宋体" w:cs="宋体"/>
          <w:kern w:val="0"/>
          <w:sz w:val="24"/>
          <w:szCs w:val="24"/>
          <w:lang w:bidi="ar"/>
        </w:rPr>
        <w:t>无法直接获取</w:t>
      </w:r>
      <w:r>
        <w:rPr>
          <w:rFonts w:hint="eastAsia" w:ascii="宋体" w:hAnsi="宋体" w:cs="宋体"/>
          <w:kern w:val="0"/>
          <w:sz w:val="24"/>
          <w:szCs w:val="24"/>
          <w:lang w:bidi="ar"/>
        </w:rPr>
        <w:t>，需通过计算求得时，可按照各指标的体检内容要求，采集计算所需的分项数据，通过规范计算求得指标值；</w:t>
      </w:r>
    </w:p>
    <w:p w14:paraId="228E7093">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3</w:t>
      </w:r>
      <w:r>
        <w:rPr>
          <w:rFonts w:ascii="宋体" w:hAnsi="宋体" w:cs="宋体"/>
          <w:bCs/>
          <w:kern w:val="0"/>
          <w:sz w:val="24"/>
          <w:szCs w:val="24"/>
          <w:lang w:bidi="ar"/>
        </w:rPr>
        <w:t xml:space="preserve"> </w:t>
      </w:r>
      <w:r>
        <w:rPr>
          <w:sz w:val="24"/>
          <w:szCs w:val="24"/>
        </w:rPr>
        <w:t>对于反映城市物理环境质量、设施设备运行效能、建筑与结构安全等客观状态的指标，在无最新权威数据覆盖时，应采用专业仪器设备和规范的技术手段开展现场实测</w:t>
      </w:r>
      <w:r>
        <w:rPr>
          <w:rFonts w:hint="eastAsia"/>
          <w:sz w:val="24"/>
          <w:szCs w:val="24"/>
        </w:rPr>
        <w:t>；</w:t>
      </w:r>
    </w:p>
    <w:p w14:paraId="38062061">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4</w:t>
      </w:r>
      <w:r>
        <w:rPr>
          <w:rFonts w:ascii="宋体" w:hAnsi="宋体" w:cs="宋体"/>
          <w:bCs/>
          <w:kern w:val="0"/>
          <w:sz w:val="24"/>
          <w:szCs w:val="24"/>
          <w:lang w:bidi="ar"/>
        </w:rPr>
        <w:t xml:space="preserve"> </w:t>
      </w:r>
      <w:r>
        <w:rPr>
          <w:rFonts w:hint="eastAsia" w:ascii="宋体" w:hAnsi="宋体" w:cs="宋体"/>
          <w:kern w:val="0"/>
          <w:sz w:val="24"/>
          <w:szCs w:val="24"/>
          <w:lang w:bidi="ar"/>
        </w:rPr>
        <w:t>当个别指标数据缺失或无法获取时，宜按照科学合理的原则，采用替代数据测算、抽样调查推断等方法进行补充；在确保维度不缺失的前提下，可对确实无法获取数据的指标进行等效替换。</w:t>
      </w:r>
    </w:p>
    <w:p w14:paraId="0E395C54">
      <w:pPr>
        <w:widowControl/>
        <w:spacing w:after="156" w:afterLines="50" w:line="278" w:lineRule="auto"/>
        <w:outlineLvl w:val="2"/>
        <w:rPr>
          <w:rFonts w:ascii="Times New Roman" w:hAnsi="Times New Roman" w:cs="Times New Roman"/>
          <w:sz w:val="24"/>
          <w:szCs w:val="32"/>
          <w:lang w:bidi="ar"/>
        </w:rPr>
      </w:pPr>
      <w:r>
        <w:rPr>
          <w:rFonts w:ascii="Times New Roman" w:hAnsi="Times New Roman" w:cs="Times New Roman"/>
          <w:b/>
          <w:bCs/>
          <w:sz w:val="24"/>
          <w:szCs w:val="32"/>
          <w:lang w:bidi="ar"/>
        </w:rPr>
        <w:t>5.2.2</w:t>
      </w:r>
      <w:r>
        <w:rPr>
          <w:rFonts w:hint="eastAsia" w:ascii="Times New Roman" w:hAnsi="Times New Roman" w:cs="Times New Roman"/>
          <w:b/>
          <w:bCs/>
          <w:sz w:val="24"/>
          <w:szCs w:val="32"/>
          <w:lang w:bidi="ar"/>
        </w:rPr>
        <w:t xml:space="preserve"> </w:t>
      </w:r>
      <w:r>
        <w:rPr>
          <w:rFonts w:hint="eastAsia" w:ascii="Times New Roman" w:hAnsi="Times New Roman" w:cs="Times New Roman"/>
          <w:sz w:val="24"/>
          <w:szCs w:val="32"/>
          <w:lang w:bidi="ar"/>
        </w:rPr>
        <w:t>采集数据来源应以调查数据、政府部门和行业数据为基础，收集既有专项调查、市民服务热线、社会商业大数据等多源数据，并应符合以下要求：</w:t>
      </w:r>
    </w:p>
    <w:p w14:paraId="6B6BBAB7">
      <w:pPr>
        <w:spacing w:after="160" w:line="278" w:lineRule="auto"/>
        <w:ind w:firstLine="420"/>
        <w:rPr>
          <w:rFonts w:ascii="宋体" w:hAnsi="宋体" w:cs="Times New Roman"/>
          <w:sz w:val="24"/>
          <w:szCs w:val="28"/>
        </w:rPr>
      </w:pPr>
      <w:r>
        <w:rPr>
          <w:rFonts w:hint="eastAsia" w:ascii="Times New Roman" w:hAnsi="Times New Roman" w:cs="Times New Roman"/>
          <w:bCs/>
          <w:kern w:val="0"/>
          <w:sz w:val="24"/>
          <w:szCs w:val="24"/>
          <w:lang w:bidi="ar"/>
        </w:rPr>
        <w:t>1</w:t>
      </w:r>
      <w:r>
        <w:rPr>
          <w:rFonts w:hint="eastAsia" w:ascii="宋体" w:hAnsi="宋体" w:cs="Times New Roman"/>
          <w:bCs/>
          <w:sz w:val="24"/>
          <w:szCs w:val="28"/>
        </w:rPr>
        <w:t xml:space="preserve"> </w:t>
      </w:r>
      <w:r>
        <w:rPr>
          <w:rFonts w:hint="eastAsia" w:ascii="宋体" w:hAnsi="宋体" w:cs="Times New Roman"/>
          <w:sz w:val="24"/>
          <w:szCs w:val="28"/>
        </w:rPr>
        <w:t>调查数据宜包括专业机构、社区居委会、小区物业公司、专业单位等现场调查获取的数据；</w:t>
      </w:r>
    </w:p>
    <w:p w14:paraId="7CAAA868">
      <w:pPr>
        <w:spacing w:after="160" w:line="278" w:lineRule="auto"/>
        <w:ind w:firstLine="420"/>
        <w:rPr>
          <w:rFonts w:ascii="宋体" w:hAnsi="宋体" w:cs="Times New Roman"/>
          <w:sz w:val="24"/>
          <w:szCs w:val="28"/>
        </w:rPr>
      </w:pPr>
      <w:r>
        <w:rPr>
          <w:rFonts w:hint="eastAsia" w:ascii="Times New Roman" w:hAnsi="Times New Roman" w:cs="Times New Roman"/>
          <w:bCs/>
          <w:kern w:val="0"/>
          <w:sz w:val="24"/>
          <w:szCs w:val="24"/>
          <w:lang w:bidi="ar"/>
        </w:rPr>
        <w:t xml:space="preserve">2 </w:t>
      </w:r>
      <w:r>
        <w:rPr>
          <w:rFonts w:hint="eastAsia" w:ascii="宋体" w:hAnsi="宋体" w:cs="Times New Roman"/>
          <w:sz w:val="24"/>
          <w:szCs w:val="28"/>
        </w:rPr>
        <w:t>政府部门和行业数据，除直接向住房城乡建设部门及水电气热等公用事业企业申请获取外，还应广泛接入发展改革、自然资源、生态环境、交通运输、教育、卫生健康、公安交管、民政等城市相关职能部门的统计与运行数据，以及各类规划、公报、专项工作报告等政府公开信息；</w:t>
      </w:r>
    </w:p>
    <w:p w14:paraId="66A8C2B7">
      <w:pPr>
        <w:spacing w:after="160" w:line="278" w:lineRule="auto"/>
        <w:ind w:firstLine="420"/>
        <w:rPr>
          <w:rFonts w:ascii="宋体" w:hAnsi="宋体" w:cs="Times New Roman"/>
          <w:sz w:val="24"/>
          <w:szCs w:val="28"/>
        </w:rPr>
      </w:pPr>
      <w:r>
        <w:rPr>
          <w:rFonts w:ascii="Times New Roman" w:hAnsi="Times New Roman" w:cs="Times New Roman"/>
          <w:bCs/>
          <w:kern w:val="0"/>
          <w:sz w:val="24"/>
          <w:szCs w:val="24"/>
          <w:lang w:bidi="ar"/>
        </w:rPr>
        <w:t>3</w:t>
      </w:r>
      <w:r>
        <w:rPr>
          <w:rFonts w:ascii="宋体" w:hAnsi="宋体" w:cs="Times New Roman"/>
          <w:bCs/>
          <w:sz w:val="24"/>
          <w:szCs w:val="28"/>
        </w:rPr>
        <w:t xml:space="preserve"> </w:t>
      </w:r>
      <w:r>
        <w:rPr>
          <w:rFonts w:ascii="宋体" w:hAnsi="宋体" w:cs="Times New Roman"/>
          <w:sz w:val="24"/>
          <w:szCs w:val="28"/>
        </w:rPr>
        <w:t>既有专项调查数据宜包括</w:t>
      </w:r>
      <w:bookmarkStart w:id="29" w:name="OLE_LINK6"/>
      <w:bookmarkStart w:id="30" w:name="OLE_LINK5"/>
      <w:r>
        <w:rPr>
          <w:rFonts w:hint="eastAsia" w:ascii="宋体" w:hAnsi="宋体" w:cs="Times New Roman"/>
          <w:sz w:val="24"/>
          <w:szCs w:val="28"/>
        </w:rPr>
        <w:t>城市更新统计调查、</w:t>
      </w:r>
      <w:bookmarkEnd w:id="29"/>
      <w:bookmarkEnd w:id="30"/>
      <w:r>
        <w:rPr>
          <w:rFonts w:hint="eastAsia" w:ascii="宋体" w:hAnsi="宋体" w:cs="Times New Roman"/>
          <w:sz w:val="24"/>
          <w:szCs w:val="28"/>
        </w:rPr>
        <w:t>全国自然灾害综合风险普查房屋建筑和市政设施调查、城市危旧房摸底调查等相关调查数据。涉及房屋结构安全、燃气安全、桥梁结构安全等体检指标数据，应采用专业单位出具的调查鉴定等意见；</w:t>
      </w:r>
    </w:p>
    <w:p w14:paraId="219F3680">
      <w:pPr>
        <w:spacing w:after="160" w:line="278" w:lineRule="auto"/>
        <w:ind w:firstLine="420"/>
        <w:rPr>
          <w:rFonts w:ascii="宋体" w:hAnsi="宋体" w:cs="Times New Roman"/>
          <w:sz w:val="24"/>
          <w:szCs w:val="28"/>
        </w:rPr>
      </w:pPr>
      <w:r>
        <w:rPr>
          <w:rFonts w:ascii="Times New Roman" w:hAnsi="Times New Roman" w:cs="Times New Roman"/>
          <w:bCs/>
          <w:kern w:val="0"/>
          <w:sz w:val="24"/>
          <w:szCs w:val="24"/>
          <w:lang w:bidi="ar"/>
        </w:rPr>
        <w:t>4</w:t>
      </w:r>
      <w:r>
        <w:rPr>
          <w:rFonts w:ascii="宋体" w:hAnsi="宋体" w:cs="Times New Roman"/>
          <w:bCs/>
          <w:sz w:val="24"/>
          <w:szCs w:val="28"/>
        </w:rPr>
        <w:t xml:space="preserve"> </w:t>
      </w:r>
      <w:r>
        <w:rPr>
          <w:rFonts w:ascii="宋体" w:hAnsi="宋体" w:cs="Times New Roman"/>
          <w:sz w:val="24"/>
          <w:szCs w:val="28"/>
        </w:rPr>
        <w:t>市民服务热线数据宜包括各城市人民政府设立的12345政务服务便民热线、市长信箱、手机短信、</w:t>
      </w:r>
      <w:r>
        <w:rPr>
          <w:rFonts w:hint="eastAsia" w:ascii="宋体" w:hAnsi="宋体" w:cs="Times New Roman"/>
          <w:sz w:val="24"/>
          <w:szCs w:val="28"/>
        </w:rPr>
        <w:t>手机客户端、微博、微信等公共服务平台上的相关市民意见数据；</w:t>
      </w:r>
    </w:p>
    <w:p w14:paraId="23DA7E69">
      <w:pPr>
        <w:spacing w:after="160" w:line="278" w:lineRule="auto"/>
        <w:ind w:firstLine="420"/>
        <w:rPr>
          <w:rFonts w:ascii="宋体" w:hAnsi="宋体" w:cs="Times New Roman"/>
          <w:sz w:val="24"/>
          <w:szCs w:val="28"/>
        </w:rPr>
      </w:pPr>
      <w:r>
        <w:rPr>
          <w:rFonts w:hint="eastAsia" w:ascii="Times New Roman" w:hAnsi="Times New Roman" w:cs="Times New Roman"/>
          <w:bCs/>
          <w:kern w:val="0"/>
          <w:sz w:val="24"/>
          <w:szCs w:val="24"/>
          <w:lang w:bidi="ar"/>
        </w:rPr>
        <w:t>5</w:t>
      </w:r>
      <w:r>
        <w:rPr>
          <w:rFonts w:hint="eastAsia" w:ascii="宋体" w:hAnsi="宋体" w:cs="Times New Roman"/>
          <w:bCs/>
          <w:sz w:val="24"/>
          <w:szCs w:val="28"/>
        </w:rPr>
        <w:t xml:space="preserve"> </w:t>
      </w:r>
      <w:r>
        <w:rPr>
          <w:rFonts w:hint="eastAsia" w:ascii="宋体" w:hAnsi="宋体" w:cs="Times New Roman"/>
          <w:sz w:val="24"/>
          <w:szCs w:val="28"/>
        </w:rPr>
        <w:t>社会商业大数据宜包括手机信令数据、移动互联网数据等相关信息数据；</w:t>
      </w:r>
    </w:p>
    <w:p w14:paraId="1D8042B8">
      <w:pPr>
        <w:spacing w:after="160" w:line="278" w:lineRule="auto"/>
        <w:ind w:firstLine="420"/>
        <w:rPr>
          <w:rFonts w:ascii="宋体" w:hAnsi="宋体" w:cs="Times New Roman"/>
          <w:sz w:val="24"/>
          <w:szCs w:val="28"/>
        </w:rPr>
      </w:pPr>
      <w:r>
        <w:rPr>
          <w:rFonts w:hint="eastAsia" w:ascii="Times New Roman" w:hAnsi="Times New Roman" w:cs="Times New Roman"/>
          <w:bCs/>
          <w:kern w:val="0"/>
          <w:sz w:val="24"/>
          <w:szCs w:val="24"/>
          <w:lang w:bidi="ar"/>
        </w:rPr>
        <w:t>6</w:t>
      </w:r>
      <w:r>
        <w:rPr>
          <w:rFonts w:ascii="宋体" w:hAnsi="宋体" w:cs="Times New Roman"/>
          <w:bCs/>
          <w:sz w:val="24"/>
          <w:szCs w:val="28"/>
        </w:rPr>
        <w:t xml:space="preserve"> </w:t>
      </w:r>
      <w:r>
        <w:rPr>
          <w:rFonts w:hint="eastAsia" w:ascii="宋体" w:hAnsi="宋体" w:cs="Times New Roman"/>
          <w:sz w:val="24"/>
          <w:szCs w:val="28"/>
        </w:rPr>
        <w:t>遥感影像数据宜包括利用遥感影像自动识别技术提取相关体检指标所需的地物矢量图斑，可运用在公共活动场地和公共绿地指标中，用于识别空间面积等；</w:t>
      </w:r>
    </w:p>
    <w:p w14:paraId="7987502D">
      <w:pPr>
        <w:spacing w:after="160" w:line="278" w:lineRule="auto"/>
        <w:ind w:firstLine="420"/>
        <w:rPr>
          <w:rFonts w:ascii="宋体" w:hAnsi="宋体" w:cs="Times New Roman"/>
          <w:sz w:val="24"/>
          <w:szCs w:val="28"/>
        </w:rPr>
      </w:pPr>
      <w:r>
        <w:rPr>
          <w:rFonts w:hint="eastAsia" w:ascii="Times New Roman" w:hAnsi="Times New Roman" w:cs="Times New Roman"/>
          <w:bCs/>
          <w:kern w:val="0"/>
          <w:sz w:val="24"/>
          <w:szCs w:val="24"/>
          <w:lang w:bidi="ar"/>
        </w:rPr>
        <w:t>7</w:t>
      </w:r>
      <w:r>
        <w:rPr>
          <w:rFonts w:ascii="宋体" w:hAnsi="宋体" w:cs="Times New Roman"/>
          <w:bCs/>
          <w:sz w:val="24"/>
          <w:szCs w:val="28"/>
        </w:rPr>
        <w:t xml:space="preserve"> </w:t>
      </w:r>
      <w:r>
        <w:rPr>
          <w:rFonts w:hint="eastAsia" w:ascii="宋体" w:hAnsi="宋体" w:cs="Times New Roman"/>
          <w:sz w:val="24"/>
          <w:szCs w:val="28"/>
        </w:rPr>
        <w:t>街道社区提供数据宜结合既有资料调取并初步填报相关体检指标所需原始信息，主要涉及小区（社区）基本信息和房屋建筑基本情况；</w:t>
      </w:r>
    </w:p>
    <w:p w14:paraId="4385B768">
      <w:pPr>
        <w:spacing w:after="160" w:line="278" w:lineRule="auto"/>
        <w:ind w:firstLine="420"/>
        <w:rPr>
          <w:rFonts w:ascii="宋体" w:hAnsi="宋体" w:cs="Times New Roman"/>
          <w:sz w:val="24"/>
          <w:szCs w:val="28"/>
        </w:rPr>
      </w:pPr>
      <w:r>
        <w:rPr>
          <w:rFonts w:hint="eastAsia" w:ascii="Times New Roman" w:hAnsi="Times New Roman" w:cs="Times New Roman"/>
          <w:bCs/>
          <w:kern w:val="0"/>
          <w:sz w:val="24"/>
          <w:szCs w:val="24"/>
          <w:lang w:bidi="ar"/>
        </w:rPr>
        <w:t>8</w:t>
      </w:r>
      <w:r>
        <w:rPr>
          <w:rFonts w:ascii="宋体" w:hAnsi="宋体" w:cs="Times New Roman"/>
          <w:bCs/>
          <w:sz w:val="24"/>
          <w:szCs w:val="28"/>
        </w:rPr>
        <w:t xml:space="preserve"> </w:t>
      </w:r>
      <w:r>
        <w:rPr>
          <w:rFonts w:hint="eastAsia" w:ascii="宋体" w:hAnsi="宋体" w:cs="Times New Roman"/>
          <w:sz w:val="24"/>
          <w:szCs w:val="28"/>
        </w:rPr>
        <w:t>居民问卷与座谈访谈数据宜包括居民通过手机扫码的方式进入居民问卷调查系统进行线上答题，并提出城市建设改善建议，和通过街道社区层面的座谈，校核指标数据，了解过往建设领域专项行动的具体措施和成效；</w:t>
      </w:r>
    </w:p>
    <w:p w14:paraId="336E0552">
      <w:pPr>
        <w:spacing w:after="160" w:line="278" w:lineRule="auto"/>
        <w:ind w:firstLine="420"/>
        <w:rPr>
          <w:rFonts w:ascii="宋体" w:hAnsi="宋体" w:cs="Times New Roman"/>
          <w:sz w:val="24"/>
          <w:szCs w:val="28"/>
        </w:rPr>
      </w:pPr>
      <w:r>
        <w:rPr>
          <w:rFonts w:ascii="Times New Roman" w:hAnsi="Times New Roman" w:cs="Times New Roman"/>
          <w:bCs/>
          <w:kern w:val="0"/>
          <w:sz w:val="24"/>
          <w:szCs w:val="24"/>
          <w:lang w:bidi="ar"/>
        </w:rPr>
        <w:t>9</w:t>
      </w:r>
      <w:r>
        <w:rPr>
          <w:rFonts w:hint="eastAsia" w:ascii="宋体" w:hAnsi="宋体" w:cs="Times New Roman"/>
          <w:bCs/>
          <w:sz w:val="24"/>
          <w:szCs w:val="28"/>
        </w:rPr>
        <w:t xml:space="preserve"> </w:t>
      </w:r>
      <w:r>
        <w:rPr>
          <w:rFonts w:hint="eastAsia" w:ascii="宋体" w:hAnsi="宋体" w:cs="Times New Roman"/>
          <w:sz w:val="24"/>
          <w:szCs w:val="28"/>
        </w:rPr>
        <w:t>各城市可根据实际情况确定其他数据来源；</w:t>
      </w:r>
    </w:p>
    <w:p w14:paraId="6D8D01D7">
      <w:pPr>
        <w:spacing w:after="160" w:line="278" w:lineRule="auto"/>
        <w:ind w:firstLine="420"/>
        <w:rPr>
          <w:rFonts w:ascii="宋体" w:hAnsi="宋体" w:cs="Times New Roman"/>
          <w:sz w:val="24"/>
          <w:szCs w:val="28"/>
        </w:rPr>
      </w:pPr>
      <w:r>
        <w:rPr>
          <w:rFonts w:hint="eastAsia" w:ascii="Times New Roman" w:hAnsi="Times New Roman" w:cs="Times New Roman"/>
          <w:bCs/>
          <w:kern w:val="0"/>
          <w:sz w:val="24"/>
          <w:szCs w:val="24"/>
          <w:lang w:bidi="ar"/>
        </w:rPr>
        <w:t>10</w:t>
      </w:r>
      <w:r>
        <w:rPr>
          <w:rFonts w:ascii="宋体" w:hAnsi="宋体" w:cs="Times New Roman"/>
          <w:bCs/>
          <w:sz w:val="24"/>
          <w:szCs w:val="28"/>
        </w:rPr>
        <w:t xml:space="preserve"> </w:t>
      </w:r>
      <w:r>
        <w:rPr>
          <w:sz w:val="24"/>
          <w:szCs w:val="24"/>
        </w:rPr>
        <w:t>针对多源异构数据，应建立统一的数据口径与融合规范。当不同来源的数据在统计口径、空间边界或时间节点上存在差异时，应以政府权威统计或行业认定数据为主，以社会大数据、遥感影像等辅助数据为补充进行交叉校验，确保体检基础数据底板的一致性与唯一性。</w:t>
      </w:r>
    </w:p>
    <w:p w14:paraId="63A78F8C">
      <w:pPr>
        <w:widowControl/>
        <w:spacing w:after="156" w:afterLines="50" w:line="278" w:lineRule="auto"/>
        <w:outlineLvl w:val="2"/>
        <w:rPr>
          <w:rFonts w:ascii="Times New Roman" w:hAnsi="Times New Roman" w:cs="Times New Roman"/>
          <w:sz w:val="24"/>
          <w:szCs w:val="32"/>
          <w:lang w:bidi="ar"/>
        </w:rPr>
      </w:pPr>
      <w:r>
        <w:rPr>
          <w:rFonts w:ascii="Times New Roman" w:hAnsi="Times New Roman" w:cs="Times New Roman"/>
          <w:b/>
          <w:bCs/>
          <w:sz w:val="24"/>
          <w:szCs w:val="32"/>
          <w:lang w:bidi="ar"/>
        </w:rPr>
        <w:t>5.2.</w:t>
      </w:r>
      <w:r>
        <w:rPr>
          <w:rFonts w:hint="eastAsia" w:ascii="Times New Roman" w:hAnsi="Times New Roman" w:cs="Times New Roman"/>
          <w:b/>
          <w:bCs/>
          <w:sz w:val="24"/>
          <w:szCs w:val="32"/>
          <w:lang w:bidi="ar"/>
        </w:rPr>
        <w:t xml:space="preserve">3 </w:t>
      </w:r>
      <w:r>
        <w:rPr>
          <w:rFonts w:hint="eastAsia" w:ascii="Times New Roman" w:hAnsi="Times New Roman" w:cs="Times New Roman"/>
          <w:sz w:val="24"/>
          <w:szCs w:val="32"/>
          <w:lang w:bidi="ar"/>
        </w:rPr>
        <w:t>数据的时效应符合下列要求：</w:t>
      </w:r>
    </w:p>
    <w:p w14:paraId="44D1002F">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1</w:t>
      </w:r>
      <w:r>
        <w:rPr>
          <w:rFonts w:ascii="宋体" w:hAnsi="宋体" w:cs="宋体"/>
          <w:bCs/>
          <w:kern w:val="0"/>
          <w:sz w:val="24"/>
          <w:szCs w:val="24"/>
          <w:lang w:bidi="ar"/>
        </w:rPr>
        <w:t xml:space="preserve"> </w:t>
      </w:r>
      <w:r>
        <w:rPr>
          <w:rFonts w:hint="eastAsia" w:ascii="宋体" w:hAnsi="宋体" w:cs="宋体"/>
          <w:kern w:val="0"/>
          <w:sz w:val="24"/>
          <w:szCs w:val="24"/>
          <w:lang w:bidi="ar"/>
        </w:rPr>
        <w:t>处于实时更新状态的指标数据，应采集最新数据；</w:t>
      </w:r>
    </w:p>
    <w:p w14:paraId="57619786">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2</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以年度统计数据为基础的指标数据，采集截止时间应为上一年度12月31日；</w:t>
      </w:r>
    </w:p>
    <w:p w14:paraId="554345E2">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3</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需计算变化数值或累计数值的指标数据，应采集相应时间范围内多个数据。</w:t>
      </w:r>
    </w:p>
    <w:p w14:paraId="26ABBD9D">
      <w:pPr>
        <w:widowControl/>
        <w:spacing w:after="160" w:line="278" w:lineRule="auto"/>
        <w:outlineLvl w:val="2"/>
        <w:rPr>
          <w:rFonts w:ascii="楷体" w:hAnsi="楷体" w:eastAsia="楷体" w:cs="Times New Roman"/>
          <w:sz w:val="24"/>
          <w:szCs w:val="28"/>
          <w:lang w:bidi="ar"/>
        </w:rPr>
      </w:pPr>
      <w:r>
        <w:rPr>
          <w:rFonts w:ascii="Times New Roman" w:hAnsi="Times New Roman" w:cs="Times New Roman"/>
          <w:b/>
          <w:bCs/>
          <w:sz w:val="24"/>
          <w:szCs w:val="32"/>
        </w:rPr>
        <w:t>5.2.4</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lang w:bidi="ar"/>
        </w:rPr>
        <w:t>数据采集可采用人工智能、物联网等新技术、新方法，实现数据采集智能化、自动化、精准化。</w:t>
      </w:r>
    </w:p>
    <w:p w14:paraId="46D4A999">
      <w:pPr>
        <w:widowControl/>
        <w:spacing w:after="156" w:afterLines="50" w:line="278" w:lineRule="auto"/>
        <w:jc w:val="center"/>
        <w:outlineLvl w:val="1"/>
        <w:rPr>
          <w:rFonts w:ascii="宋体" w:hAnsi="宋体" w:cs="Times New Roman"/>
          <w:b/>
          <w:bCs/>
          <w:kern w:val="0"/>
          <w:sz w:val="24"/>
          <w:szCs w:val="24"/>
          <w:lang w:bidi="ar"/>
        </w:rPr>
      </w:pPr>
      <w:bookmarkStart w:id="31" w:name="_Toc211952371"/>
      <w:bookmarkStart w:id="32" w:name="_Toc221291504"/>
      <w:bookmarkStart w:id="33" w:name="_Hlk213854722"/>
      <w:r>
        <w:rPr>
          <w:rFonts w:ascii="宋体" w:hAnsi="宋体" w:cs="Times New Roman"/>
          <w:b/>
          <w:bCs/>
          <w:kern w:val="0"/>
          <w:sz w:val="24"/>
          <w:szCs w:val="24"/>
          <w:lang w:bidi="ar"/>
        </w:rPr>
        <w:t>5</w:t>
      </w:r>
      <w:r>
        <w:rPr>
          <w:rFonts w:hint="eastAsia" w:ascii="宋体" w:hAnsi="宋体" w:cs="Times New Roman"/>
          <w:b/>
          <w:bCs/>
          <w:kern w:val="0"/>
          <w:sz w:val="24"/>
          <w:szCs w:val="24"/>
          <w:lang w:bidi="ar"/>
        </w:rPr>
        <w:t>.</w:t>
      </w:r>
      <w:r>
        <w:rPr>
          <w:rFonts w:ascii="宋体" w:hAnsi="宋体" w:cs="Times New Roman"/>
          <w:b/>
          <w:bCs/>
          <w:kern w:val="0"/>
          <w:sz w:val="24"/>
          <w:szCs w:val="24"/>
          <w:lang w:bidi="ar"/>
        </w:rPr>
        <w:t>3</w:t>
      </w:r>
      <w:r>
        <w:rPr>
          <w:rFonts w:hint="eastAsia" w:ascii="宋体" w:hAnsi="宋体" w:cs="Times New Roman"/>
          <w:b/>
          <w:bCs/>
          <w:kern w:val="0"/>
          <w:sz w:val="24"/>
          <w:szCs w:val="24"/>
          <w:lang w:bidi="ar"/>
        </w:rPr>
        <w:t xml:space="preserve"> 居民问卷调查</w:t>
      </w:r>
      <w:bookmarkEnd w:id="31"/>
      <w:bookmarkEnd w:id="32"/>
    </w:p>
    <w:p w14:paraId="65AA3CFC">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lang w:bidi="ar"/>
        </w:rPr>
        <w:t>5.3.1</w:t>
      </w:r>
      <w:r>
        <w:rPr>
          <w:rFonts w:hint="eastAsia" w:ascii="Times New Roman" w:hAnsi="Times New Roman" w:cs="Times New Roman"/>
          <w:b/>
          <w:bCs/>
          <w:sz w:val="24"/>
          <w:szCs w:val="32"/>
          <w:lang w:bidi="ar"/>
        </w:rPr>
        <w:t xml:space="preserve"> </w:t>
      </w:r>
      <w:r>
        <w:rPr>
          <w:rFonts w:hint="eastAsia" w:ascii="Times New Roman" w:hAnsi="Times New Roman" w:cs="Times New Roman"/>
          <w:bCs/>
          <w:sz w:val="24"/>
          <w:szCs w:val="32"/>
        </w:rPr>
        <w:t>居民问卷</w:t>
      </w:r>
      <w:r>
        <w:rPr>
          <w:rFonts w:ascii="Times New Roman" w:hAnsi="Times New Roman" w:cs="Times New Roman"/>
          <w:bCs/>
          <w:sz w:val="24"/>
          <w:szCs w:val="32"/>
        </w:rPr>
        <w:t>调查对象应为城市建成区内年满16周岁、且已连续稳定居住半年及以上的常住居民。</w:t>
      </w:r>
    </w:p>
    <w:p w14:paraId="6638CBA8">
      <w:pPr>
        <w:widowControl/>
        <w:spacing w:after="160" w:line="278" w:lineRule="auto"/>
        <w:outlineLvl w:val="2"/>
        <w:rPr>
          <w:rFonts w:ascii="Times New Roman" w:hAnsi="Times New Roman" w:cs="Times New Roman"/>
          <w:b/>
          <w:bCs/>
          <w:sz w:val="24"/>
          <w:szCs w:val="32"/>
        </w:rPr>
      </w:pPr>
      <w:r>
        <w:rPr>
          <w:rFonts w:ascii="Times New Roman" w:hAnsi="Times New Roman" w:cs="Times New Roman"/>
          <w:b/>
          <w:bCs/>
          <w:sz w:val="24"/>
          <w:szCs w:val="32"/>
        </w:rPr>
        <w:t>5</w:t>
      </w:r>
      <w:r>
        <w:rPr>
          <w:rFonts w:hint="eastAsia" w:ascii="Times New Roman" w:hAnsi="Times New Roman" w:cs="Times New Roman"/>
          <w:b/>
          <w:bCs/>
          <w:sz w:val="24"/>
          <w:szCs w:val="32"/>
        </w:rPr>
        <w:t>.</w:t>
      </w:r>
      <w:r>
        <w:rPr>
          <w:rFonts w:ascii="Times New Roman" w:hAnsi="Times New Roman" w:cs="Times New Roman"/>
          <w:b/>
          <w:bCs/>
          <w:sz w:val="24"/>
          <w:szCs w:val="32"/>
        </w:rPr>
        <w:t>3</w:t>
      </w:r>
      <w:r>
        <w:rPr>
          <w:rFonts w:hint="eastAsia" w:ascii="Times New Roman" w:hAnsi="Times New Roman" w:cs="Times New Roman"/>
          <w:b/>
          <w:bCs/>
          <w:sz w:val="24"/>
          <w:szCs w:val="32"/>
        </w:rPr>
        <w:t>.</w:t>
      </w:r>
      <w:r>
        <w:rPr>
          <w:rFonts w:ascii="Times New Roman" w:hAnsi="Times New Roman" w:cs="Times New Roman"/>
          <w:b/>
          <w:bCs/>
          <w:sz w:val="24"/>
          <w:szCs w:val="32"/>
        </w:rPr>
        <w:t>2</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居民问卷</w:t>
      </w:r>
      <w:r>
        <w:rPr>
          <w:rFonts w:ascii="Times New Roman" w:hAnsi="Times New Roman" w:cs="Times New Roman"/>
          <w:bCs/>
          <w:sz w:val="24"/>
          <w:szCs w:val="32"/>
        </w:rPr>
        <w:t>调查宜采用线上与线下相结合的抽样问卷方式，可辅以结构化的现场访谈。应确保调查渠道便捷，覆盖不同居民群体。</w:t>
      </w:r>
    </w:p>
    <w:p w14:paraId="7F2F6F0A">
      <w:pPr>
        <w:widowControl/>
        <w:spacing w:after="160" w:line="278" w:lineRule="auto"/>
        <w:outlineLvl w:val="2"/>
        <w:rPr>
          <w:rFonts w:ascii="Times New Roman" w:hAnsi="Times New Roman" w:cs="Times New Roman"/>
          <w:b/>
          <w:bCs/>
          <w:sz w:val="24"/>
          <w:szCs w:val="32"/>
        </w:rPr>
      </w:pPr>
      <w:r>
        <w:rPr>
          <w:rFonts w:ascii="Times New Roman" w:hAnsi="Times New Roman" w:cs="Times New Roman"/>
          <w:b/>
          <w:bCs/>
          <w:sz w:val="24"/>
          <w:szCs w:val="32"/>
        </w:rPr>
        <w:t>5.3.3</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问卷内容应系统覆盖住房、小区（社区）、街区、城区（城市）等维度的体检主题，并包含受访者的基本社会经济属性信息。</w:t>
      </w:r>
    </w:p>
    <w:p w14:paraId="5E5D5B3D">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5.3.4</w:t>
      </w:r>
      <w:r>
        <w:rPr>
          <w:rFonts w:hint="eastAsia" w:ascii="Times New Roman" w:hAnsi="Times New Roman" w:cs="Times New Roman"/>
          <w:b/>
          <w:bCs/>
          <w:sz w:val="24"/>
          <w:szCs w:val="32"/>
        </w:rPr>
        <w:t xml:space="preserve"> </w:t>
      </w:r>
      <w:r>
        <w:rPr>
          <w:rFonts w:ascii="Times New Roman" w:hAnsi="Times New Roman" w:cs="Times New Roman"/>
          <w:bCs/>
          <w:sz w:val="24"/>
          <w:szCs w:val="32"/>
        </w:rPr>
        <w:t>居民问卷</w:t>
      </w:r>
      <w:r>
        <w:rPr>
          <w:rFonts w:hint="eastAsia" w:ascii="Times New Roman" w:hAnsi="Times New Roman" w:cs="Times New Roman"/>
          <w:bCs/>
          <w:sz w:val="24"/>
          <w:szCs w:val="32"/>
        </w:rPr>
        <w:t>调查</w:t>
      </w:r>
      <w:r>
        <w:rPr>
          <w:rFonts w:ascii="Times New Roman" w:hAnsi="Times New Roman" w:cs="Times New Roman"/>
          <w:bCs/>
          <w:sz w:val="24"/>
          <w:szCs w:val="32"/>
        </w:rPr>
        <w:t>应采用以社区为基本单元的空间分层抽样方法</w:t>
      </w:r>
      <w:r>
        <w:rPr>
          <w:rFonts w:hint="eastAsia" w:ascii="Times New Roman" w:hAnsi="Times New Roman" w:cs="Times New Roman"/>
          <w:bCs/>
          <w:sz w:val="24"/>
          <w:szCs w:val="32"/>
        </w:rPr>
        <w:t>，并应符合以下规定：</w:t>
      </w:r>
    </w:p>
    <w:p w14:paraId="103B402E">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hint="eastAsia" w:ascii="宋体" w:hAnsi="宋体" w:cs="宋体"/>
          <w:bCs/>
          <w:kern w:val="0"/>
          <w:sz w:val="24"/>
          <w:szCs w:val="24"/>
          <w:lang w:bidi="ar"/>
        </w:rPr>
        <w:t xml:space="preserve"> </w:t>
      </w:r>
      <w:r>
        <w:rPr>
          <w:rFonts w:ascii="宋体" w:hAnsi="宋体" w:cs="宋体"/>
          <w:kern w:val="0"/>
          <w:sz w:val="24"/>
          <w:szCs w:val="24"/>
          <w:lang w:bidi="ar"/>
        </w:rPr>
        <w:t>城市总样本量</w:t>
      </w:r>
      <w:r>
        <w:rPr>
          <w:rFonts w:hint="eastAsia" w:ascii="宋体" w:hAnsi="宋体" w:cs="宋体"/>
          <w:kern w:val="0"/>
          <w:sz w:val="24"/>
          <w:szCs w:val="24"/>
          <w:lang w:bidi="ar"/>
        </w:rPr>
        <w:t>宜</w:t>
      </w:r>
      <w:r>
        <w:rPr>
          <w:rFonts w:ascii="宋体" w:hAnsi="宋体" w:cs="宋体"/>
          <w:kern w:val="0"/>
          <w:sz w:val="24"/>
          <w:szCs w:val="24"/>
          <w:lang w:bidi="ar"/>
        </w:rPr>
        <w:t>按建成区常住人口的0.6‰</w:t>
      </w:r>
      <w:r>
        <w:rPr>
          <w:rFonts w:hint="eastAsia" w:ascii="宋体" w:hAnsi="宋体" w:cs="宋体"/>
          <w:kern w:val="0"/>
          <w:sz w:val="24"/>
          <w:szCs w:val="24"/>
          <w:lang w:bidi="ar"/>
        </w:rPr>
        <w:t>至</w:t>
      </w:r>
      <w:r>
        <w:rPr>
          <w:rFonts w:ascii="宋体" w:hAnsi="宋体" w:cs="宋体"/>
          <w:kern w:val="0"/>
          <w:sz w:val="24"/>
          <w:szCs w:val="24"/>
          <w:lang w:bidi="ar"/>
        </w:rPr>
        <w:t>1.5‰核定，</w:t>
      </w:r>
      <w:r>
        <w:rPr>
          <w:rFonts w:hint="eastAsia"/>
          <w:bCs/>
          <w:sz w:val="24"/>
          <w:szCs w:val="24"/>
        </w:rPr>
        <w:t>且总样本量原则上不宜少于</w:t>
      </w:r>
      <w:r>
        <w:rPr>
          <w:rFonts w:asciiTheme="majorEastAsia" w:hAnsiTheme="majorEastAsia" w:eastAsiaTheme="majorEastAsia"/>
          <w:bCs/>
          <w:sz w:val="24"/>
          <w:szCs w:val="24"/>
        </w:rPr>
        <w:t>1500</w:t>
      </w:r>
      <w:r>
        <w:rPr>
          <w:rFonts w:hint="eastAsia"/>
          <w:bCs/>
          <w:sz w:val="24"/>
          <w:szCs w:val="24"/>
        </w:rPr>
        <w:t>份</w:t>
      </w:r>
      <w:r>
        <w:rPr>
          <w:sz w:val="24"/>
          <w:szCs w:val="24"/>
        </w:rPr>
        <w:t>。</w:t>
      </w:r>
      <w:r>
        <w:rPr>
          <w:rFonts w:ascii="宋体" w:hAnsi="宋体" w:cs="宋体"/>
          <w:kern w:val="0"/>
          <w:sz w:val="24"/>
          <w:szCs w:val="24"/>
          <w:lang w:bidi="ar"/>
        </w:rPr>
        <w:t>其中超大城市</w:t>
      </w:r>
      <w:r>
        <w:rPr>
          <w:rFonts w:hint="eastAsia" w:ascii="宋体" w:hAnsi="宋体" w:cs="宋体"/>
          <w:kern w:val="0"/>
          <w:sz w:val="24"/>
          <w:szCs w:val="24"/>
          <w:lang w:bidi="ar"/>
        </w:rPr>
        <w:t>宜</w:t>
      </w:r>
      <w:r>
        <w:rPr>
          <w:rFonts w:ascii="宋体" w:hAnsi="宋体" w:cs="宋体"/>
          <w:kern w:val="0"/>
          <w:sz w:val="24"/>
          <w:szCs w:val="24"/>
          <w:lang w:bidi="ar"/>
        </w:rPr>
        <w:t>执行比例下限，中小城市</w:t>
      </w:r>
      <w:r>
        <w:rPr>
          <w:rFonts w:hint="eastAsia" w:ascii="宋体" w:hAnsi="宋体" w:cs="宋体"/>
          <w:kern w:val="0"/>
          <w:sz w:val="24"/>
          <w:szCs w:val="24"/>
          <w:lang w:bidi="ar"/>
        </w:rPr>
        <w:t>宜</w:t>
      </w:r>
      <w:r>
        <w:rPr>
          <w:rFonts w:ascii="宋体" w:hAnsi="宋体" w:cs="宋体"/>
          <w:kern w:val="0"/>
          <w:sz w:val="24"/>
          <w:szCs w:val="24"/>
          <w:lang w:bidi="ar"/>
        </w:rPr>
        <w:t>采用比例上限</w:t>
      </w:r>
      <w:r>
        <w:rPr>
          <w:rFonts w:hint="eastAsia"/>
          <w:bCs/>
          <w:sz w:val="24"/>
          <w:szCs w:val="24"/>
        </w:rPr>
        <w:t>或绝对数量下限</w:t>
      </w:r>
      <w:r>
        <w:rPr>
          <w:rFonts w:hint="eastAsia" w:ascii="宋体" w:hAnsi="宋体" w:cs="宋体"/>
          <w:kern w:val="0"/>
          <w:sz w:val="24"/>
          <w:szCs w:val="24"/>
          <w:lang w:bidi="ar"/>
        </w:rPr>
        <w:t>；</w:t>
      </w:r>
    </w:p>
    <w:p w14:paraId="5AABAD81">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2</w:t>
      </w:r>
      <w:r>
        <w:rPr>
          <w:rFonts w:hint="eastAsia" w:ascii="宋体" w:hAnsi="宋体" w:cs="宋体"/>
          <w:bCs/>
          <w:kern w:val="0"/>
          <w:sz w:val="24"/>
          <w:szCs w:val="24"/>
          <w:lang w:bidi="ar"/>
        </w:rPr>
        <w:t xml:space="preserve"> </w:t>
      </w:r>
      <w:r>
        <w:rPr>
          <w:rFonts w:hint="eastAsia" w:ascii="宋体" w:hAnsi="宋体" w:cs="宋体"/>
          <w:kern w:val="0"/>
          <w:sz w:val="24"/>
          <w:szCs w:val="24"/>
          <w:lang w:bidi="ar"/>
        </w:rPr>
        <w:t>样本在各城区宜均衡覆盖，按社区人口规模梯度设定最低样本量</w:t>
      </w:r>
      <w:r>
        <w:rPr>
          <w:rFonts w:ascii="宋体" w:hAnsi="宋体" w:cs="宋体"/>
          <w:kern w:val="0"/>
          <w:sz w:val="24"/>
          <w:szCs w:val="24"/>
          <w:lang w:bidi="ar"/>
        </w:rPr>
        <w:t>，性别和职业比例</w:t>
      </w:r>
      <w:r>
        <w:rPr>
          <w:rFonts w:hint="eastAsia" w:ascii="宋体" w:hAnsi="宋体" w:cs="宋体"/>
          <w:kern w:val="0"/>
          <w:sz w:val="24"/>
          <w:szCs w:val="24"/>
          <w:lang w:bidi="ar"/>
        </w:rPr>
        <w:t>宜</w:t>
      </w:r>
      <w:r>
        <w:rPr>
          <w:rFonts w:ascii="宋体" w:hAnsi="宋体" w:cs="宋体"/>
          <w:kern w:val="0"/>
          <w:sz w:val="24"/>
          <w:szCs w:val="24"/>
          <w:lang w:bidi="ar"/>
        </w:rPr>
        <w:t>和本城市真实人口结构接近，女性比例不</w:t>
      </w:r>
      <w:r>
        <w:rPr>
          <w:rFonts w:hint="eastAsia" w:ascii="宋体" w:hAnsi="宋体" w:cs="宋体"/>
          <w:kern w:val="0"/>
          <w:sz w:val="24"/>
          <w:szCs w:val="24"/>
          <w:lang w:bidi="ar"/>
        </w:rPr>
        <w:t>宜</w:t>
      </w:r>
      <w:r>
        <w:rPr>
          <w:rFonts w:ascii="宋体" w:hAnsi="宋体" w:cs="宋体"/>
          <w:kern w:val="0"/>
          <w:sz w:val="24"/>
          <w:szCs w:val="24"/>
          <w:lang w:bidi="ar"/>
        </w:rPr>
        <w:t>超过60%，党政机关或事业人员比例不</w:t>
      </w:r>
      <w:r>
        <w:rPr>
          <w:rFonts w:hint="eastAsia" w:ascii="宋体" w:hAnsi="宋体" w:cs="宋体"/>
          <w:kern w:val="0"/>
          <w:sz w:val="24"/>
          <w:szCs w:val="24"/>
          <w:lang w:bidi="ar"/>
        </w:rPr>
        <w:t>宜</w:t>
      </w:r>
      <w:r>
        <w:rPr>
          <w:rFonts w:ascii="宋体" w:hAnsi="宋体" w:cs="宋体"/>
          <w:kern w:val="0"/>
          <w:sz w:val="24"/>
          <w:szCs w:val="24"/>
          <w:lang w:bidi="ar"/>
        </w:rPr>
        <w:t>超过25%。</w:t>
      </w:r>
    </w:p>
    <w:p w14:paraId="74E9322E">
      <w:pPr>
        <w:widowControl/>
        <w:spacing w:after="156" w:afterLines="50" w:line="278" w:lineRule="auto"/>
        <w:outlineLvl w:val="2"/>
        <w:rPr>
          <w:rFonts w:ascii="宋体" w:hAnsi="宋体" w:cs="宋体"/>
          <w:kern w:val="0"/>
          <w:lang w:bidi="ar"/>
        </w:rPr>
      </w:pPr>
      <w:r>
        <w:rPr>
          <w:rFonts w:ascii="Times New Roman" w:hAnsi="Times New Roman" w:cs="Times New Roman"/>
          <w:b/>
          <w:bCs/>
          <w:sz w:val="24"/>
          <w:szCs w:val="32"/>
          <w:lang w:bidi="ar"/>
        </w:rPr>
        <w:t>5.3.5</w:t>
      </w:r>
      <w:r>
        <w:rPr>
          <w:rFonts w:hint="eastAsia" w:ascii="Times New Roman" w:hAnsi="Times New Roman" w:cs="Times New Roman"/>
          <w:b/>
          <w:bCs/>
          <w:sz w:val="24"/>
          <w:szCs w:val="32"/>
          <w:lang w:bidi="ar"/>
        </w:rPr>
        <w:t xml:space="preserve"> </w:t>
      </w:r>
      <w:r>
        <w:rPr>
          <w:rFonts w:hint="eastAsia" w:ascii="宋体" w:hAnsi="宋体" w:cs="宋体"/>
          <w:kern w:val="0"/>
          <w:sz w:val="24"/>
          <w:szCs w:val="24"/>
          <w:lang w:bidi="ar"/>
        </w:rPr>
        <w:t>回收的问卷数据应经过规范的数据清洗流程，剔除无效答卷，并进行标准化编码，以保障数据的质量与可用性。</w:t>
      </w:r>
      <w:bookmarkEnd w:id="33"/>
      <w:r>
        <w:rPr>
          <w:rFonts w:hint="eastAsia" w:ascii="宋体" w:hAnsi="宋体" w:eastAsia="等线" w:cs="宋体"/>
          <w:b/>
          <w:bCs/>
          <w:kern w:val="0"/>
          <w:lang w:bidi="ar"/>
        </w:rPr>
        <w:br w:type="page"/>
      </w:r>
    </w:p>
    <w:p w14:paraId="5FBDEF0D">
      <w:pPr>
        <w:pStyle w:val="3"/>
        <w:spacing w:before="0" w:after="156" w:afterLines="50" w:line="360" w:lineRule="auto"/>
        <w:ind w:left="357" w:hanging="357"/>
        <w:jc w:val="center"/>
        <w:rPr>
          <w:rFonts w:ascii="Times New Roman" w:hAnsi="Times New Roman" w:eastAsiaTheme="minorEastAsia"/>
          <w:kern w:val="0"/>
          <w:sz w:val="24"/>
          <w:szCs w:val="24"/>
          <w:lang w:val="zh-CN"/>
        </w:rPr>
      </w:pPr>
      <w:bookmarkStart w:id="34" w:name="_Toc221291505"/>
      <w:bookmarkStart w:id="35" w:name="_Toc211952372"/>
      <w:r>
        <w:rPr>
          <w:rFonts w:hint="eastAsia" w:ascii="Times New Roman" w:hAnsi="Times New Roman" w:eastAsiaTheme="minorEastAsia"/>
          <w:kern w:val="0"/>
          <w:sz w:val="24"/>
          <w:szCs w:val="24"/>
          <w:lang w:val="zh-CN"/>
        </w:rPr>
        <w:t>6 分析诊断</w:t>
      </w:r>
      <w:bookmarkEnd w:id="34"/>
      <w:bookmarkEnd w:id="35"/>
    </w:p>
    <w:p w14:paraId="55BD2E7D">
      <w:pPr>
        <w:widowControl/>
        <w:spacing w:after="160" w:line="278" w:lineRule="auto"/>
        <w:jc w:val="center"/>
        <w:outlineLvl w:val="1"/>
        <w:rPr>
          <w:rFonts w:ascii="宋体" w:hAnsi="宋体" w:cs="Times New Roman"/>
          <w:b/>
          <w:bCs/>
          <w:kern w:val="0"/>
          <w:sz w:val="24"/>
          <w:szCs w:val="24"/>
        </w:rPr>
      </w:pPr>
      <w:bookmarkStart w:id="36" w:name="_Toc221291506"/>
      <w:r>
        <w:rPr>
          <w:rFonts w:ascii="宋体" w:hAnsi="宋体" w:cs="Times New Roman"/>
          <w:b/>
          <w:bCs/>
          <w:kern w:val="0"/>
          <w:sz w:val="24"/>
          <w:szCs w:val="24"/>
        </w:rPr>
        <w:t xml:space="preserve">6.1 </w:t>
      </w:r>
      <w:r>
        <w:rPr>
          <w:rFonts w:hint="eastAsia" w:ascii="宋体" w:hAnsi="宋体" w:cs="Times New Roman"/>
          <w:b/>
          <w:bCs/>
          <w:kern w:val="0"/>
          <w:sz w:val="24"/>
          <w:szCs w:val="24"/>
        </w:rPr>
        <w:t>基本规定</w:t>
      </w:r>
      <w:bookmarkEnd w:id="36"/>
    </w:p>
    <w:p w14:paraId="39B4408C">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6.1.1</w:t>
      </w:r>
      <w:r>
        <w:rPr>
          <w:rFonts w:hint="eastAsia" w:ascii="Times New Roman" w:hAnsi="Times New Roman" w:cs="Times New Roman"/>
          <w:b/>
          <w:bCs/>
          <w:sz w:val="24"/>
          <w:szCs w:val="32"/>
        </w:rPr>
        <w:t xml:space="preserve"> </w:t>
      </w:r>
      <w:r>
        <w:rPr>
          <w:rFonts w:ascii="Times New Roman" w:hAnsi="Times New Roman" w:cs="Times New Roman"/>
          <w:bCs/>
          <w:sz w:val="24"/>
          <w:szCs w:val="32"/>
        </w:rPr>
        <w:t>城市体检应基于收集的指标数据，进行系统分析和综合诊断，明确问题成因、影响范围</w:t>
      </w:r>
      <w:r>
        <w:rPr>
          <w:rFonts w:hint="eastAsia" w:ascii="Times New Roman" w:hAnsi="Times New Roman" w:cs="Times New Roman"/>
          <w:bCs/>
          <w:sz w:val="24"/>
          <w:szCs w:val="32"/>
        </w:rPr>
        <w:t>和</w:t>
      </w:r>
      <w:r>
        <w:rPr>
          <w:rFonts w:ascii="Times New Roman" w:hAnsi="Times New Roman" w:cs="Times New Roman"/>
          <w:bCs/>
          <w:sz w:val="24"/>
          <w:szCs w:val="32"/>
        </w:rPr>
        <w:t>紧迫程度</w:t>
      </w:r>
      <w:r>
        <w:rPr>
          <w:rFonts w:hint="eastAsia" w:ascii="Times New Roman" w:hAnsi="Times New Roman" w:cs="Times New Roman"/>
          <w:bCs/>
          <w:sz w:val="24"/>
          <w:szCs w:val="32"/>
        </w:rPr>
        <w:t>，形成精准定位、分级分类的问题清单，为后续整治提供科学依据。</w:t>
      </w:r>
    </w:p>
    <w:p w14:paraId="60B2C446">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6.1.2</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城市体检问题清单应系统梳理城市体检发现的各类问题，以问题描述、空间位置、严重程度、关联指标、成因分析为主要内容，明确问题的类型、属性和分布的重点地区，形成用于指导后续治理的标准化诊断文件。</w:t>
      </w:r>
    </w:p>
    <w:p w14:paraId="7AAB78F2">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6.1.3</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整治建议清单应针对城市体检问题清单中的各项问题，提出目标清晰、措施具体、权责明确、时序合理的系统性解决方案。清单内容应涵盖整治目标、具体措施、责任主体、实施时序等要素，形成可实施、可跟踪、可考核的行动指引文件。整</w:t>
      </w:r>
      <w:r>
        <w:rPr>
          <w:rFonts w:hint="eastAsia" w:ascii="Times New Roman" w:hAnsi="Times New Roman" w:cs="Times New Roman"/>
          <w:bCs/>
          <w:sz w:val="24"/>
          <w:szCs w:val="32"/>
        </w:rPr>
        <w:t>治建议应分类为限时解决和持续推进两类，分别对应涉及安全健康等紧迫问题和需中长期治理的系统性问题。</w:t>
      </w:r>
    </w:p>
    <w:p w14:paraId="4BF581FB">
      <w:pPr>
        <w:widowControl/>
        <w:spacing w:after="160" w:line="278" w:lineRule="auto"/>
        <w:jc w:val="center"/>
        <w:outlineLvl w:val="1"/>
        <w:rPr>
          <w:rFonts w:ascii="宋体" w:hAnsi="宋体" w:cs="Times New Roman"/>
          <w:b/>
          <w:bCs/>
          <w:kern w:val="0"/>
          <w:sz w:val="24"/>
          <w:szCs w:val="24"/>
        </w:rPr>
      </w:pPr>
      <w:bookmarkStart w:id="37" w:name="_Toc207297986"/>
      <w:bookmarkStart w:id="38" w:name="_Toc221291507"/>
      <w:r>
        <w:rPr>
          <w:rFonts w:ascii="宋体" w:hAnsi="宋体" w:cs="Times New Roman"/>
          <w:b/>
          <w:bCs/>
          <w:kern w:val="0"/>
          <w:sz w:val="24"/>
          <w:szCs w:val="24"/>
        </w:rPr>
        <w:t xml:space="preserve">6.2 </w:t>
      </w:r>
      <w:bookmarkEnd w:id="37"/>
      <w:r>
        <w:rPr>
          <w:rFonts w:hint="eastAsia" w:ascii="宋体" w:hAnsi="宋体" w:cs="Times New Roman"/>
          <w:b/>
          <w:bCs/>
          <w:kern w:val="0"/>
          <w:sz w:val="24"/>
          <w:szCs w:val="24"/>
        </w:rPr>
        <w:t>指标分析</w:t>
      </w:r>
      <w:bookmarkEnd w:id="38"/>
    </w:p>
    <w:p w14:paraId="463EF3BD">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6.2.1</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指标分析宜采用单项指标分析法、多项指标联动分析法、主客观结合分析法等分析方法。</w:t>
      </w:r>
    </w:p>
    <w:p w14:paraId="7A7F43EB">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6</w:t>
      </w:r>
      <w:r>
        <w:rPr>
          <w:rFonts w:hint="eastAsia" w:ascii="Times New Roman" w:hAnsi="Times New Roman" w:cs="Times New Roman"/>
          <w:b/>
          <w:bCs/>
          <w:sz w:val="24"/>
          <w:szCs w:val="32"/>
        </w:rPr>
        <w:t>.</w:t>
      </w:r>
      <w:r>
        <w:rPr>
          <w:rFonts w:ascii="Times New Roman" w:hAnsi="Times New Roman" w:cs="Times New Roman"/>
          <w:b/>
          <w:bCs/>
          <w:sz w:val="24"/>
          <w:szCs w:val="32"/>
        </w:rPr>
        <w:t>2</w:t>
      </w:r>
      <w:r>
        <w:rPr>
          <w:rFonts w:hint="eastAsia" w:ascii="Times New Roman" w:hAnsi="Times New Roman" w:cs="Times New Roman"/>
          <w:b/>
          <w:bCs/>
          <w:sz w:val="24"/>
          <w:szCs w:val="32"/>
        </w:rPr>
        <w:t xml:space="preserve">.2 </w:t>
      </w:r>
      <w:r>
        <w:rPr>
          <w:rFonts w:hint="eastAsia" w:ascii="Times New Roman" w:hAnsi="Times New Roman" w:cs="Times New Roman"/>
          <w:bCs/>
          <w:sz w:val="24"/>
          <w:szCs w:val="32"/>
        </w:rPr>
        <w:t>单项指标分析应依据其预设的阈值标准进行评价。对于问题导向型指标，应直接对照安全、配套等刚性标准判断是否达标并识别具体问题空间位置；对于评价导向型指标，应结合历史数据、规划目标及对标城市数据进行趋势研判、目标达成度分析与横向比较，并与各地确定的标准或相关工作的目标任务进行对照评价。城市体检指标结果汇总应符合本标准附录A的规定。</w:t>
      </w:r>
    </w:p>
    <w:p w14:paraId="7A0950CE">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6</w:t>
      </w:r>
      <w:r>
        <w:rPr>
          <w:rFonts w:hint="eastAsia" w:ascii="Times New Roman" w:hAnsi="Times New Roman" w:cs="Times New Roman"/>
          <w:b/>
          <w:bCs/>
          <w:sz w:val="24"/>
          <w:szCs w:val="32"/>
        </w:rPr>
        <w:t>.</w:t>
      </w:r>
      <w:r>
        <w:rPr>
          <w:rFonts w:ascii="Times New Roman" w:hAnsi="Times New Roman" w:cs="Times New Roman"/>
          <w:b/>
          <w:bCs/>
          <w:sz w:val="24"/>
          <w:szCs w:val="32"/>
        </w:rPr>
        <w:t>2</w:t>
      </w:r>
      <w:r>
        <w:rPr>
          <w:rFonts w:hint="eastAsia" w:ascii="Times New Roman" w:hAnsi="Times New Roman" w:cs="Times New Roman"/>
          <w:b/>
          <w:bCs/>
          <w:sz w:val="24"/>
          <w:szCs w:val="32"/>
        </w:rPr>
        <w:t xml:space="preserve">.3 </w:t>
      </w:r>
      <w:r>
        <w:rPr>
          <w:rFonts w:hint="eastAsia" w:ascii="Times New Roman" w:hAnsi="Times New Roman" w:cs="Times New Roman"/>
          <w:bCs/>
          <w:sz w:val="24"/>
          <w:szCs w:val="32"/>
        </w:rPr>
        <w:t>多项指标联动分析应在单项指标分析基础上，综合运用空间叠合、聚类分析、相关性分析、时序趋势等方法，揭示两个及以上指标之间的内在关联、协同效应或矛盾冲突。可结合综合体检、专项体检分析结果，加强数据分析的交互融合。</w:t>
      </w:r>
    </w:p>
    <w:p w14:paraId="67ECAB67">
      <w:pPr>
        <w:widowControl/>
        <w:spacing w:after="160" w:line="278" w:lineRule="auto"/>
        <w:outlineLvl w:val="2"/>
        <w:rPr>
          <w:rFonts w:ascii="Times New Roman" w:hAnsi="Times New Roman" w:cs="Times New Roman"/>
          <w:bCs/>
          <w:sz w:val="24"/>
          <w:szCs w:val="32"/>
        </w:rPr>
      </w:pPr>
      <w:r>
        <w:rPr>
          <w:rFonts w:ascii="Times New Roman" w:hAnsi="Times New Roman" w:cs="Times New Roman"/>
          <w:b/>
          <w:bCs/>
          <w:sz w:val="24"/>
          <w:szCs w:val="32"/>
        </w:rPr>
        <w:t>6</w:t>
      </w:r>
      <w:r>
        <w:rPr>
          <w:rFonts w:hint="eastAsia" w:ascii="Times New Roman" w:hAnsi="Times New Roman" w:cs="Times New Roman"/>
          <w:b/>
          <w:bCs/>
          <w:sz w:val="24"/>
          <w:szCs w:val="32"/>
        </w:rPr>
        <w:t>.</w:t>
      </w:r>
      <w:r>
        <w:rPr>
          <w:rFonts w:ascii="Times New Roman" w:hAnsi="Times New Roman" w:cs="Times New Roman"/>
          <w:b/>
          <w:bCs/>
          <w:sz w:val="24"/>
          <w:szCs w:val="32"/>
        </w:rPr>
        <w:t>2</w:t>
      </w:r>
      <w:r>
        <w:rPr>
          <w:rFonts w:hint="eastAsia" w:ascii="Times New Roman" w:hAnsi="Times New Roman" w:cs="Times New Roman"/>
          <w:b/>
          <w:bCs/>
          <w:sz w:val="24"/>
          <w:szCs w:val="32"/>
        </w:rPr>
        <w:t xml:space="preserve">.4 </w:t>
      </w:r>
      <w:r>
        <w:rPr>
          <w:rFonts w:hint="eastAsia" w:ascii="Times New Roman" w:hAnsi="Times New Roman" w:cs="Times New Roman"/>
          <w:bCs/>
          <w:sz w:val="24"/>
          <w:szCs w:val="32"/>
        </w:rPr>
        <w:t>主客观结合分析应将客观指标数据与居民问卷调查结果交叉验证，通过数据对比、交叉验证与空间耦合分析，重点诊断客观状况与主观感受之间的匹配、差异与矛盾关系。</w:t>
      </w:r>
    </w:p>
    <w:p w14:paraId="16F6A70D">
      <w:pPr>
        <w:widowControl/>
        <w:spacing w:after="160" w:line="278" w:lineRule="auto"/>
        <w:jc w:val="center"/>
        <w:outlineLvl w:val="1"/>
        <w:rPr>
          <w:rFonts w:ascii="宋体" w:hAnsi="宋体" w:cs="Times New Roman"/>
          <w:b/>
          <w:bCs/>
          <w:kern w:val="0"/>
          <w:sz w:val="24"/>
          <w:szCs w:val="24"/>
          <w:lang w:bidi="ar"/>
        </w:rPr>
      </w:pPr>
      <w:bookmarkStart w:id="39" w:name="_Toc221291508"/>
      <w:r>
        <w:rPr>
          <w:rFonts w:ascii="宋体" w:hAnsi="宋体" w:cs="Times New Roman"/>
          <w:b/>
          <w:bCs/>
          <w:kern w:val="0"/>
          <w:sz w:val="24"/>
          <w:szCs w:val="24"/>
          <w:lang w:bidi="ar"/>
        </w:rPr>
        <w:t>6</w:t>
      </w:r>
      <w:r>
        <w:rPr>
          <w:rFonts w:hint="eastAsia" w:ascii="宋体" w:hAnsi="宋体" w:cs="Times New Roman"/>
          <w:b/>
          <w:bCs/>
          <w:kern w:val="0"/>
          <w:sz w:val="24"/>
          <w:szCs w:val="24"/>
          <w:lang w:bidi="ar"/>
        </w:rPr>
        <w:t>.</w:t>
      </w:r>
      <w:r>
        <w:rPr>
          <w:rFonts w:ascii="宋体" w:hAnsi="宋体" w:cs="Times New Roman"/>
          <w:b/>
          <w:bCs/>
          <w:kern w:val="0"/>
          <w:sz w:val="24"/>
          <w:szCs w:val="24"/>
          <w:lang w:bidi="ar"/>
        </w:rPr>
        <w:t>3</w:t>
      </w:r>
      <w:r>
        <w:rPr>
          <w:rFonts w:hint="eastAsia" w:ascii="宋体" w:hAnsi="宋体" w:cs="Times New Roman"/>
          <w:b/>
          <w:bCs/>
          <w:kern w:val="0"/>
          <w:sz w:val="24"/>
          <w:szCs w:val="24"/>
          <w:lang w:bidi="ar"/>
        </w:rPr>
        <w:t xml:space="preserve"> 问题诊断</w:t>
      </w:r>
      <w:bookmarkEnd w:id="39"/>
    </w:p>
    <w:p w14:paraId="289FC290">
      <w:pPr>
        <w:widowControl/>
        <w:spacing w:after="160" w:line="278" w:lineRule="auto"/>
        <w:outlineLvl w:val="2"/>
        <w:rPr>
          <w:rFonts w:ascii="Times New Roman" w:hAnsi="Times New Roman" w:cs="Times New Roman"/>
          <w:bCs/>
          <w:sz w:val="24"/>
          <w:szCs w:val="32"/>
          <w:lang w:bidi="ar"/>
        </w:rPr>
      </w:pPr>
      <w:r>
        <w:rPr>
          <w:rFonts w:ascii="Times New Roman" w:hAnsi="Times New Roman" w:cs="Times New Roman"/>
          <w:b/>
          <w:bCs/>
          <w:sz w:val="24"/>
          <w:szCs w:val="32"/>
          <w:lang w:bidi="ar"/>
        </w:rPr>
        <w:t>6</w:t>
      </w:r>
      <w:r>
        <w:rPr>
          <w:rFonts w:hint="eastAsia" w:ascii="Times New Roman" w:hAnsi="Times New Roman" w:cs="Times New Roman"/>
          <w:b/>
          <w:bCs/>
          <w:sz w:val="24"/>
          <w:szCs w:val="32"/>
          <w:lang w:bidi="ar"/>
        </w:rPr>
        <w:t>.</w:t>
      </w:r>
      <w:r>
        <w:rPr>
          <w:rFonts w:ascii="Times New Roman" w:hAnsi="Times New Roman" w:cs="Times New Roman"/>
          <w:b/>
          <w:bCs/>
          <w:sz w:val="24"/>
          <w:szCs w:val="32"/>
          <w:lang w:bidi="ar"/>
        </w:rPr>
        <w:t>3.1</w:t>
      </w:r>
      <w:r>
        <w:rPr>
          <w:rFonts w:hint="eastAsia" w:ascii="Times New Roman" w:hAnsi="Times New Roman" w:cs="Times New Roman"/>
          <w:b/>
          <w:bCs/>
          <w:sz w:val="24"/>
          <w:szCs w:val="32"/>
          <w:lang w:bidi="ar"/>
        </w:rPr>
        <w:t xml:space="preserve"> </w:t>
      </w:r>
      <w:r>
        <w:rPr>
          <w:rFonts w:hint="eastAsia" w:ascii="Times New Roman" w:hAnsi="Times New Roman" w:cs="Times New Roman"/>
          <w:bCs/>
          <w:sz w:val="24"/>
          <w:szCs w:val="32"/>
          <w:lang w:bidi="ar"/>
        </w:rPr>
        <w:t>开展问题诊断应按照一体化推进城市体检与城市更新工作要求，系统整合各类体检数据台账，再结合</w:t>
      </w:r>
      <w:r>
        <w:rPr>
          <w:rFonts w:hint="eastAsia" w:ascii="Times New Roman" w:hAnsi="Times New Roman" w:cs="Times New Roman"/>
          <w:sz w:val="24"/>
          <w:szCs w:val="32"/>
          <w:lang w:bidi="ar"/>
        </w:rPr>
        <w:t>单项指标分析、多项指标联动分析及主客观结合分析结果，进行系统梳理与综合研判，形成城市体检问题清单。</w:t>
      </w:r>
    </w:p>
    <w:p w14:paraId="3FACD525">
      <w:pPr>
        <w:widowControl/>
        <w:spacing w:after="160" w:line="278" w:lineRule="auto"/>
        <w:outlineLvl w:val="2"/>
        <w:rPr>
          <w:rFonts w:ascii="Times New Roman" w:hAnsi="Times New Roman" w:cs="Times New Roman"/>
          <w:bCs/>
          <w:sz w:val="24"/>
          <w:szCs w:val="32"/>
          <w:lang w:bidi="ar"/>
        </w:rPr>
      </w:pPr>
      <w:r>
        <w:rPr>
          <w:rFonts w:ascii="Times New Roman" w:hAnsi="Times New Roman" w:cs="Times New Roman"/>
          <w:b/>
          <w:bCs/>
          <w:sz w:val="24"/>
          <w:szCs w:val="32"/>
        </w:rPr>
        <w:t>6.3.2</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问题清单应依据问题的空间维度、问题类型及严重程度，建立结构清晰、层次分明的问题分类体系，为后续的成因诊断与治理策略制定提供结构化基础。各维度问题清单应符合本标准附录</w:t>
      </w:r>
      <w:r>
        <w:rPr>
          <w:rFonts w:ascii="Times New Roman" w:hAnsi="Times New Roman" w:cs="Times New Roman"/>
          <w:bCs/>
          <w:sz w:val="24"/>
          <w:szCs w:val="32"/>
        </w:rPr>
        <w:t>B</w:t>
      </w:r>
      <w:r>
        <w:rPr>
          <w:rFonts w:hint="eastAsia" w:ascii="Times New Roman" w:hAnsi="Times New Roman" w:cs="Times New Roman"/>
          <w:bCs/>
          <w:sz w:val="24"/>
          <w:szCs w:val="32"/>
        </w:rPr>
        <w:t>的规定。</w:t>
      </w:r>
    </w:p>
    <w:p w14:paraId="0A6161D5">
      <w:pPr>
        <w:widowControl/>
        <w:spacing w:after="160" w:line="278" w:lineRule="auto"/>
        <w:jc w:val="center"/>
        <w:outlineLvl w:val="1"/>
        <w:rPr>
          <w:rFonts w:ascii="宋体" w:hAnsi="宋体" w:cs="Times New Roman"/>
          <w:b/>
          <w:bCs/>
          <w:kern w:val="0"/>
          <w:sz w:val="24"/>
          <w:szCs w:val="24"/>
          <w:lang w:bidi="ar"/>
        </w:rPr>
      </w:pPr>
      <w:bookmarkStart w:id="40" w:name="_Toc207297987"/>
      <w:bookmarkStart w:id="41" w:name="_Toc221291509"/>
      <w:r>
        <w:rPr>
          <w:rFonts w:ascii="宋体" w:hAnsi="宋体" w:cs="Times New Roman"/>
          <w:b/>
          <w:bCs/>
          <w:kern w:val="0"/>
          <w:sz w:val="24"/>
          <w:szCs w:val="24"/>
          <w:lang w:bidi="ar"/>
        </w:rPr>
        <w:t>6</w:t>
      </w:r>
      <w:r>
        <w:rPr>
          <w:rFonts w:hint="eastAsia" w:ascii="宋体" w:hAnsi="宋体" w:cs="Times New Roman"/>
          <w:b/>
          <w:bCs/>
          <w:kern w:val="0"/>
          <w:sz w:val="24"/>
          <w:szCs w:val="24"/>
          <w:lang w:bidi="ar"/>
        </w:rPr>
        <w:t>.</w:t>
      </w:r>
      <w:bookmarkEnd w:id="40"/>
      <w:r>
        <w:rPr>
          <w:rFonts w:ascii="宋体" w:hAnsi="宋体" w:cs="Times New Roman"/>
          <w:b/>
          <w:bCs/>
          <w:kern w:val="0"/>
          <w:sz w:val="24"/>
          <w:szCs w:val="24"/>
          <w:lang w:bidi="ar"/>
        </w:rPr>
        <w:t>4</w:t>
      </w:r>
      <w:r>
        <w:rPr>
          <w:rFonts w:hint="eastAsia" w:ascii="宋体" w:hAnsi="宋体" w:cs="Times New Roman"/>
          <w:b/>
          <w:bCs/>
          <w:kern w:val="0"/>
          <w:sz w:val="24"/>
          <w:szCs w:val="24"/>
          <w:lang w:bidi="ar"/>
        </w:rPr>
        <w:t xml:space="preserve"> 整治建议</w:t>
      </w:r>
      <w:bookmarkEnd w:id="41"/>
    </w:p>
    <w:p w14:paraId="5F395C1C">
      <w:pPr>
        <w:widowControl/>
        <w:spacing w:after="160" w:line="278" w:lineRule="auto"/>
        <w:outlineLvl w:val="2"/>
        <w:rPr>
          <w:rFonts w:ascii="Times New Roman" w:hAnsi="Times New Roman" w:cs="Times New Roman"/>
          <w:sz w:val="24"/>
          <w:szCs w:val="32"/>
          <w:lang w:bidi="ar"/>
        </w:rPr>
      </w:pPr>
      <w:r>
        <w:rPr>
          <w:rFonts w:ascii="Times New Roman" w:hAnsi="Times New Roman" w:cs="Times New Roman"/>
          <w:b/>
          <w:bCs/>
          <w:sz w:val="24"/>
          <w:szCs w:val="32"/>
          <w:lang w:bidi="ar"/>
        </w:rPr>
        <w:t>6.4.</w:t>
      </w:r>
      <w:r>
        <w:rPr>
          <w:rFonts w:hint="eastAsia" w:ascii="Times New Roman" w:hAnsi="Times New Roman" w:cs="Times New Roman"/>
          <w:b/>
          <w:bCs/>
          <w:sz w:val="24"/>
          <w:szCs w:val="32"/>
          <w:lang w:bidi="ar"/>
        </w:rPr>
        <w:t xml:space="preserve">1 </w:t>
      </w:r>
      <w:r>
        <w:rPr>
          <w:rFonts w:hint="eastAsia" w:ascii="Times New Roman" w:hAnsi="Times New Roman" w:cs="Times New Roman"/>
          <w:sz w:val="24"/>
          <w:szCs w:val="32"/>
          <w:lang w:bidi="ar"/>
        </w:rPr>
        <w:t>整治建议应以城市体检问题清单为基础，将诊断出的问题逐项转化为面向实施的责任型行动清单。各维度整治建议清单应符合本标准附录</w:t>
      </w:r>
      <w:r>
        <w:rPr>
          <w:rFonts w:hint="eastAsia" w:ascii="Times New Roman" w:hAnsi="Times New Roman" w:cs="Times New Roman"/>
          <w:bCs/>
          <w:sz w:val="24"/>
          <w:szCs w:val="32"/>
          <w:lang w:bidi="ar"/>
        </w:rPr>
        <w:t>C的规定</w:t>
      </w:r>
      <w:r>
        <w:rPr>
          <w:rFonts w:hint="eastAsia" w:ascii="Times New Roman" w:hAnsi="Times New Roman" w:cs="Times New Roman"/>
          <w:sz w:val="24"/>
          <w:szCs w:val="32"/>
          <w:lang w:bidi="ar"/>
        </w:rPr>
        <w:t>。</w:t>
      </w:r>
    </w:p>
    <w:p w14:paraId="71837380">
      <w:pPr>
        <w:widowControl/>
        <w:spacing w:after="160" w:line="278" w:lineRule="auto"/>
        <w:outlineLvl w:val="2"/>
        <w:rPr>
          <w:rFonts w:ascii="Times New Roman" w:hAnsi="Times New Roman" w:cs="Times New Roman"/>
          <w:sz w:val="24"/>
          <w:szCs w:val="32"/>
          <w:lang w:bidi="ar"/>
        </w:rPr>
      </w:pPr>
      <w:r>
        <w:rPr>
          <w:rFonts w:ascii="Times New Roman" w:hAnsi="Times New Roman" w:cs="Times New Roman"/>
          <w:b/>
          <w:bCs/>
          <w:sz w:val="24"/>
          <w:szCs w:val="32"/>
          <w:lang w:bidi="ar"/>
        </w:rPr>
        <w:t>6.4.</w:t>
      </w:r>
      <w:r>
        <w:rPr>
          <w:rFonts w:hint="eastAsia" w:ascii="Times New Roman" w:hAnsi="Times New Roman" w:cs="Times New Roman"/>
          <w:b/>
          <w:bCs/>
          <w:sz w:val="24"/>
          <w:szCs w:val="32"/>
          <w:lang w:bidi="ar"/>
        </w:rPr>
        <w:t xml:space="preserve">2 </w:t>
      </w:r>
      <w:r>
        <w:rPr>
          <w:rFonts w:hint="eastAsia" w:ascii="Times New Roman" w:hAnsi="Times New Roman" w:cs="Times New Roman"/>
          <w:sz w:val="24"/>
          <w:szCs w:val="32"/>
          <w:lang w:bidi="ar"/>
        </w:rPr>
        <w:t>清单内容应明确对应的整治目标、具体措施、责任主体、实施时序，确保形成可跟踪、可考核的闭环管理依据。</w:t>
      </w:r>
    </w:p>
    <w:p w14:paraId="742F15F1">
      <w:pPr>
        <w:widowControl/>
        <w:spacing w:after="160" w:line="278" w:lineRule="auto"/>
        <w:outlineLvl w:val="2"/>
        <w:rPr>
          <w:rFonts w:ascii="Times New Roman" w:hAnsi="Times New Roman" w:cs="Times New Roman"/>
          <w:b/>
          <w:bCs/>
          <w:sz w:val="24"/>
          <w:szCs w:val="32"/>
          <w:lang w:bidi="ar"/>
        </w:rPr>
      </w:pPr>
      <w:r>
        <w:rPr>
          <w:rFonts w:ascii="Times New Roman" w:hAnsi="Times New Roman" w:cs="Times New Roman"/>
          <w:b/>
          <w:bCs/>
          <w:sz w:val="24"/>
          <w:szCs w:val="32"/>
          <w:lang w:bidi="ar"/>
        </w:rPr>
        <w:t xml:space="preserve">6.4.3 </w:t>
      </w:r>
      <w:r>
        <w:rPr>
          <w:rFonts w:hint="eastAsia" w:ascii="Times New Roman" w:hAnsi="Times New Roman" w:cs="Times New Roman"/>
          <w:bCs/>
          <w:sz w:val="24"/>
          <w:szCs w:val="32"/>
          <w:lang w:bidi="ar"/>
        </w:rPr>
        <w:t>整治建议清单应</w:t>
      </w:r>
      <w:r>
        <w:rPr>
          <w:rFonts w:hint="eastAsia" w:ascii="Segoe UI" w:hAnsi="Segoe UI" w:cs="Segoe UI"/>
          <w:color w:val="0F1115"/>
          <w:sz w:val="24"/>
          <w:szCs w:val="24"/>
          <w:shd w:val="clear" w:color="auto" w:fill="FFFFFF"/>
        </w:rPr>
        <w:t>依据问题性质、紧迫程度和与解决周期</w:t>
      </w:r>
      <w:r>
        <w:rPr>
          <w:rFonts w:hint="eastAsia" w:ascii="Times New Roman" w:hAnsi="Times New Roman" w:cs="Times New Roman"/>
          <w:bCs/>
          <w:sz w:val="24"/>
          <w:szCs w:val="32"/>
          <w:lang w:bidi="ar"/>
        </w:rPr>
        <w:t>分为限时解决和持续推进两类，并应符合以下规定：</w:t>
      </w:r>
    </w:p>
    <w:p w14:paraId="17969800">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ascii="宋体" w:hAnsi="宋体" w:cs="宋体"/>
          <w:kern w:val="0"/>
          <w:sz w:val="24"/>
          <w:szCs w:val="24"/>
          <w:lang w:bidi="ar"/>
        </w:rPr>
        <w:t xml:space="preserve"> </w:t>
      </w:r>
      <w:r>
        <w:rPr>
          <w:rFonts w:hint="eastAsia" w:ascii="宋体" w:hAnsi="宋体" w:cs="宋体"/>
          <w:kern w:val="0"/>
          <w:sz w:val="24"/>
          <w:szCs w:val="24"/>
          <w:lang w:bidi="ar"/>
        </w:rPr>
        <w:t>对于涉及安全、健康以及居民反映强烈的突出问题，应做到立行立改、限时解决；</w:t>
      </w:r>
    </w:p>
    <w:p w14:paraId="4BF538F8">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2</w:t>
      </w:r>
      <w:r>
        <w:rPr>
          <w:rFonts w:ascii="宋体" w:hAnsi="宋体" w:cs="宋体"/>
          <w:bCs/>
          <w:kern w:val="0"/>
          <w:sz w:val="24"/>
          <w:szCs w:val="24"/>
          <w:lang w:bidi="ar"/>
        </w:rPr>
        <w:t xml:space="preserve"> </w:t>
      </w:r>
      <w:r>
        <w:rPr>
          <w:rFonts w:hint="eastAsia" w:ascii="宋体" w:hAnsi="宋体" w:cs="宋体"/>
          <w:kern w:val="0"/>
          <w:sz w:val="24"/>
          <w:szCs w:val="24"/>
          <w:lang w:bidi="ar"/>
        </w:rPr>
        <w:t>对于客观诊断出的系统性短板或居民反映问题较多，但治理需要一定时间或需要持续投入的工作，应拟定中期整治行动计划，分步稳妥实施；</w:t>
      </w:r>
    </w:p>
    <w:p w14:paraId="04D3AB1B">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 xml:space="preserve">3 </w:t>
      </w:r>
      <w:r>
        <w:rPr>
          <w:rFonts w:hint="eastAsia" w:ascii="宋体" w:hAnsi="宋体" w:cs="宋体"/>
          <w:kern w:val="0"/>
          <w:sz w:val="24"/>
          <w:szCs w:val="24"/>
          <w:lang w:bidi="ar"/>
        </w:rPr>
        <w:t>对于</w:t>
      </w:r>
      <w:r>
        <w:rPr>
          <w:sz w:val="24"/>
          <w:szCs w:val="24"/>
        </w:rPr>
        <w:t>客观诊断出的局部性问题或</w:t>
      </w:r>
      <w:r>
        <w:rPr>
          <w:rFonts w:hint="eastAsia" w:ascii="宋体" w:hAnsi="宋体" w:cs="宋体"/>
          <w:kern w:val="0"/>
          <w:sz w:val="24"/>
          <w:szCs w:val="24"/>
          <w:lang w:bidi="ar"/>
        </w:rPr>
        <w:t>居民反映的一般性问题，应拟定长期整治计划统筹推进问题解决；</w:t>
      </w:r>
    </w:p>
    <w:p w14:paraId="620F6355">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4</w:t>
      </w:r>
      <w:r>
        <w:rPr>
          <w:rFonts w:ascii="宋体" w:hAnsi="宋体" w:cs="宋体"/>
          <w:bCs/>
          <w:kern w:val="0"/>
          <w:sz w:val="24"/>
          <w:szCs w:val="24"/>
          <w:lang w:bidi="ar"/>
        </w:rPr>
        <w:t xml:space="preserve"> </w:t>
      </w:r>
      <w:r>
        <w:rPr>
          <w:rFonts w:hint="eastAsia" w:ascii="宋体" w:hAnsi="宋体" w:cs="宋体"/>
          <w:kern w:val="0"/>
          <w:sz w:val="24"/>
          <w:szCs w:val="24"/>
          <w:lang w:bidi="ar"/>
        </w:rPr>
        <w:t>对于长期未解决的问题，应比对往期体检整治建议清单提高整治优先级。</w:t>
      </w:r>
    </w:p>
    <w:p w14:paraId="69292A7C">
      <w:pPr>
        <w:widowControl/>
        <w:spacing w:after="160" w:line="278" w:lineRule="auto"/>
        <w:outlineLvl w:val="2"/>
        <w:rPr>
          <w:rFonts w:ascii="Times New Roman" w:hAnsi="Times New Roman" w:cs="Times New Roman"/>
          <w:sz w:val="24"/>
          <w:szCs w:val="32"/>
          <w:lang w:bidi="ar"/>
        </w:rPr>
      </w:pPr>
      <w:r>
        <w:rPr>
          <w:rFonts w:ascii="Times New Roman" w:hAnsi="Times New Roman" w:cs="Times New Roman"/>
          <w:b/>
          <w:bCs/>
          <w:sz w:val="24"/>
          <w:szCs w:val="32"/>
        </w:rPr>
        <w:t>6.</w:t>
      </w:r>
      <w:r>
        <w:rPr>
          <w:rFonts w:hint="eastAsia" w:ascii="Times New Roman" w:hAnsi="Times New Roman" w:cs="Times New Roman"/>
          <w:b/>
          <w:bCs/>
          <w:sz w:val="24"/>
          <w:szCs w:val="32"/>
        </w:rPr>
        <w:t>4</w:t>
      </w:r>
      <w:r>
        <w:rPr>
          <w:rFonts w:ascii="Times New Roman" w:hAnsi="Times New Roman" w:cs="Times New Roman"/>
          <w:b/>
          <w:bCs/>
          <w:sz w:val="24"/>
          <w:szCs w:val="32"/>
        </w:rPr>
        <w:t>.</w:t>
      </w:r>
      <w:r>
        <w:rPr>
          <w:rFonts w:hint="eastAsia" w:ascii="Times New Roman" w:hAnsi="Times New Roman" w:cs="Times New Roman"/>
          <w:b/>
          <w:bCs/>
          <w:sz w:val="24"/>
          <w:szCs w:val="32"/>
        </w:rPr>
        <w:t>4</w:t>
      </w:r>
      <w:r>
        <w:rPr>
          <w:rFonts w:hint="eastAsia" w:ascii="Times New Roman" w:hAnsi="Times New Roman" w:cs="Times New Roman"/>
          <w:bCs/>
          <w:sz w:val="24"/>
          <w:szCs w:val="32"/>
        </w:rPr>
        <w:t>整治效果判定</w:t>
      </w:r>
      <w:r>
        <w:rPr>
          <w:rFonts w:hint="eastAsia" w:ascii="Times New Roman" w:hAnsi="Times New Roman" w:cs="Times New Roman"/>
          <w:sz w:val="24"/>
          <w:szCs w:val="32"/>
          <w:lang w:bidi="ar"/>
        </w:rPr>
        <w:t>应对照上一周期城市体检识别的问题清单，结合居民问卷调查，综合分析各项问题的整治措施实施进度、实际成效。</w:t>
      </w:r>
    </w:p>
    <w:p w14:paraId="6E41E681">
      <w:pPr>
        <w:spacing w:after="160" w:line="278" w:lineRule="auto"/>
        <w:ind w:firstLine="420"/>
        <w:rPr>
          <w:rFonts w:ascii="楷体" w:hAnsi="楷体" w:eastAsia="楷体" w:cs="Times New Roman"/>
          <w:b/>
          <w:bCs/>
          <w:szCs w:val="24"/>
        </w:rPr>
      </w:pPr>
      <w:r>
        <w:rPr>
          <w:rFonts w:ascii="楷体" w:hAnsi="楷体" w:eastAsia="楷体" w:cs="Times New Roman"/>
          <w:b/>
          <w:bCs/>
          <w:szCs w:val="24"/>
        </w:rPr>
        <w:br w:type="page"/>
      </w:r>
    </w:p>
    <w:p w14:paraId="01AE866C">
      <w:pPr>
        <w:pStyle w:val="3"/>
        <w:spacing w:before="0" w:after="156" w:afterLines="50" w:line="360" w:lineRule="auto"/>
        <w:ind w:left="357" w:hanging="357"/>
        <w:jc w:val="center"/>
        <w:rPr>
          <w:rFonts w:ascii="Times New Roman" w:hAnsi="Times New Roman" w:eastAsiaTheme="minorEastAsia"/>
          <w:kern w:val="0"/>
          <w:sz w:val="24"/>
          <w:szCs w:val="24"/>
          <w:lang w:val="zh-CN"/>
        </w:rPr>
      </w:pPr>
      <w:bookmarkStart w:id="42" w:name="_Toc221291510"/>
      <w:bookmarkStart w:id="43" w:name="_Toc211952377"/>
      <w:r>
        <w:rPr>
          <w:rFonts w:hint="eastAsia" w:ascii="Times New Roman" w:hAnsi="Times New Roman" w:eastAsiaTheme="minorEastAsia"/>
          <w:kern w:val="0"/>
          <w:sz w:val="24"/>
          <w:szCs w:val="24"/>
          <w:lang w:val="zh-CN"/>
        </w:rPr>
        <w:t>7 数据库与信息平台</w:t>
      </w:r>
      <w:bookmarkEnd w:id="42"/>
      <w:bookmarkEnd w:id="43"/>
    </w:p>
    <w:p w14:paraId="5E31B62E">
      <w:pPr>
        <w:keepNext/>
        <w:keepLines/>
        <w:widowControl/>
        <w:spacing w:before="120" w:after="156" w:afterLines="50" w:line="278" w:lineRule="auto"/>
        <w:jc w:val="center"/>
        <w:outlineLvl w:val="1"/>
        <w:rPr>
          <w:rFonts w:ascii="宋体" w:hAnsi="宋体" w:cs="Times New Roman"/>
          <w:b/>
          <w:bCs/>
          <w:kern w:val="0"/>
          <w:sz w:val="24"/>
          <w:szCs w:val="24"/>
        </w:rPr>
      </w:pPr>
      <w:bookmarkStart w:id="44" w:name="_Toc221291511"/>
      <w:bookmarkStart w:id="45" w:name="_Toc211952378"/>
      <w:r>
        <w:rPr>
          <w:rFonts w:ascii="宋体" w:hAnsi="宋体" w:cs="Times New Roman"/>
          <w:b/>
          <w:bCs/>
          <w:kern w:val="0"/>
          <w:sz w:val="24"/>
          <w:szCs w:val="24"/>
        </w:rPr>
        <w:t>7</w:t>
      </w:r>
      <w:r>
        <w:rPr>
          <w:rFonts w:hint="eastAsia" w:ascii="宋体" w:hAnsi="宋体" w:cs="Times New Roman"/>
          <w:b/>
          <w:bCs/>
          <w:kern w:val="0"/>
          <w:sz w:val="24"/>
          <w:szCs w:val="24"/>
        </w:rPr>
        <w:t>.1 城市体检评估数据库</w:t>
      </w:r>
      <w:bookmarkEnd w:id="44"/>
      <w:bookmarkEnd w:id="45"/>
    </w:p>
    <w:p w14:paraId="07042391">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7.1.1</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城市体检评估数据库应涵盖文本、指标、空间、管理台账数据及元数据，实现过程与成果数据一体化管理。平台在保障数据安全前提下，宜采用标准或公开数据格式实现数据共享与交换。</w:t>
      </w:r>
    </w:p>
    <w:p w14:paraId="202EB810">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7.1.2</w:t>
      </w:r>
      <w:r>
        <w:rPr>
          <w:rFonts w:hint="eastAsia" w:ascii="Times New Roman" w:hAnsi="Times New Roman" w:cs="Times New Roman"/>
          <w:b/>
          <w:bCs/>
          <w:sz w:val="24"/>
          <w:szCs w:val="32"/>
        </w:rPr>
        <w:t xml:space="preserve"> </w:t>
      </w:r>
      <w:r>
        <w:rPr>
          <w:rFonts w:hint="eastAsia" w:ascii="Times New Roman" w:hAnsi="Times New Roman" w:cs="Times New Roman"/>
          <w:sz w:val="24"/>
          <w:szCs w:val="32"/>
        </w:rPr>
        <w:t>城市体检评估数据库建设应包括数据预处理、数据检查校验、数据入库和入库后处理等步骤。入库数据应满足数据内容完整、数据格式和空间参考系统一、数据逻辑关联等要求。应建立统一的信息录入规程，实现问题清单与整治建议清单的数字化转化与空间落图，支撑</w:t>
      </w:r>
      <w:r>
        <w:rPr>
          <w:rFonts w:hint="eastAsia" w:ascii="Times New Roman" w:hAnsi="Times New Roman" w:cs="Times New Roman"/>
          <w:bCs/>
          <w:sz w:val="24"/>
          <w:szCs w:val="32"/>
        </w:rPr>
        <w:t>城市信息模型（</w:t>
      </w:r>
      <w:r>
        <w:rPr>
          <w:rFonts w:ascii="Times New Roman" w:hAnsi="Times New Roman" w:cs="Times New Roman"/>
          <w:bCs/>
          <w:sz w:val="24"/>
          <w:szCs w:val="32"/>
        </w:rPr>
        <w:t>CIM</w:t>
      </w:r>
      <w:r>
        <w:rPr>
          <w:rFonts w:hint="eastAsia" w:ascii="Times New Roman" w:hAnsi="Times New Roman" w:cs="Times New Roman"/>
          <w:bCs/>
          <w:sz w:val="24"/>
          <w:szCs w:val="32"/>
        </w:rPr>
        <w:t>）平台建设</w:t>
      </w:r>
      <w:r>
        <w:rPr>
          <w:rFonts w:hint="eastAsia" w:ascii="Times New Roman" w:hAnsi="Times New Roman" w:cs="Times New Roman"/>
          <w:sz w:val="24"/>
          <w:szCs w:val="32"/>
        </w:rPr>
        <w:t>。</w:t>
      </w:r>
    </w:p>
    <w:p w14:paraId="3DCBE077">
      <w:pPr>
        <w:widowControl/>
        <w:spacing w:after="160" w:line="278" w:lineRule="auto"/>
        <w:outlineLvl w:val="2"/>
        <w:rPr>
          <w:rFonts w:ascii="等线" w:hAnsi="等线" w:eastAsia="等线" w:cs="Times New Roman"/>
          <w:sz w:val="24"/>
          <w:szCs w:val="28"/>
        </w:rPr>
      </w:pPr>
      <w:r>
        <w:rPr>
          <w:rFonts w:ascii="Times New Roman" w:hAnsi="Times New Roman" w:cs="Times New Roman"/>
          <w:b/>
          <w:bCs/>
          <w:sz w:val="24"/>
          <w:szCs w:val="32"/>
        </w:rPr>
        <w:t>7.1.</w:t>
      </w:r>
      <w:r>
        <w:rPr>
          <w:rFonts w:hint="eastAsia" w:ascii="Times New Roman" w:hAnsi="Times New Roman" w:cs="Times New Roman"/>
          <w:b/>
          <w:bCs/>
          <w:sz w:val="24"/>
          <w:szCs w:val="32"/>
        </w:rPr>
        <w:t xml:space="preserve">3 </w:t>
      </w:r>
      <w:r>
        <w:rPr>
          <w:rFonts w:hint="eastAsia" w:ascii="Times New Roman" w:hAnsi="Times New Roman" w:cs="Times New Roman"/>
          <w:sz w:val="24"/>
          <w:szCs w:val="32"/>
        </w:rPr>
        <w:t>城市体检评估数据库应建立数据动态更新维护机制，实行分类、分级的数据更新频率。数据库内容应随城市体检和定期评估等工作及时更新，反映城市建设与运行变化；对于涉及城市基础设施生命线运行的关键安全指标数据，应提高数据采集频率；体检台账及各类清单、报告等成果数据应及时录入，确保信息时效性与连续性，支撑可持续对比分析与动态监测。</w:t>
      </w:r>
    </w:p>
    <w:p w14:paraId="7231564E">
      <w:pPr>
        <w:widowControl/>
        <w:spacing w:after="156" w:afterLines="50" w:line="278" w:lineRule="auto"/>
        <w:jc w:val="center"/>
        <w:outlineLvl w:val="1"/>
        <w:rPr>
          <w:rFonts w:ascii="宋体" w:hAnsi="宋体" w:cs="Times New Roman"/>
          <w:b/>
          <w:bCs/>
          <w:kern w:val="0"/>
          <w:sz w:val="24"/>
          <w:szCs w:val="24"/>
          <w:lang w:bidi="ar"/>
        </w:rPr>
      </w:pPr>
      <w:bookmarkStart w:id="46" w:name="_Toc211952379"/>
      <w:bookmarkStart w:id="47" w:name="_Toc221291512"/>
      <w:r>
        <w:rPr>
          <w:rFonts w:ascii="宋体" w:hAnsi="宋体" w:cs="Times New Roman"/>
          <w:b/>
          <w:bCs/>
          <w:kern w:val="0"/>
          <w:sz w:val="24"/>
          <w:szCs w:val="24"/>
          <w:lang w:bidi="ar"/>
        </w:rPr>
        <w:t xml:space="preserve">7.2 </w:t>
      </w:r>
      <w:r>
        <w:rPr>
          <w:rFonts w:hint="eastAsia" w:ascii="宋体" w:hAnsi="宋体" w:cs="Times New Roman"/>
          <w:b/>
          <w:bCs/>
          <w:kern w:val="0"/>
          <w:sz w:val="24"/>
          <w:szCs w:val="24"/>
          <w:lang w:bidi="ar"/>
        </w:rPr>
        <w:t>信息平台</w:t>
      </w:r>
      <w:bookmarkEnd w:id="46"/>
      <w:bookmarkEnd w:id="47"/>
    </w:p>
    <w:p w14:paraId="0B765697">
      <w:pPr>
        <w:widowControl/>
        <w:spacing w:after="160" w:line="278" w:lineRule="auto"/>
        <w:outlineLvl w:val="2"/>
        <w:rPr>
          <w:rFonts w:ascii="Times New Roman" w:hAnsi="Times New Roman" w:cs="Times New Roman"/>
          <w:bCs/>
          <w:sz w:val="24"/>
          <w:szCs w:val="32"/>
        </w:rPr>
      </w:pPr>
      <w:bookmarkStart w:id="48" w:name="_Toc199319090"/>
      <w:r>
        <w:rPr>
          <w:rFonts w:ascii="Times New Roman" w:hAnsi="Times New Roman" w:cs="Times New Roman"/>
          <w:b/>
          <w:bCs/>
          <w:sz w:val="24"/>
          <w:szCs w:val="32"/>
        </w:rPr>
        <w:t>7.2.1</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城市体检评估信息平台应以实现多源数据融合共享、智能分析诊断、动态监测预警、成果应用闭环为核心目标，构建服务于城市体检全流程的数字化支撑体系，并与城市更新全周期管理相衔接。平台应具备指标分析、动态监测、成效评估与指挥调度等核心能力，宜对接数字住建平台。平台宜依托</w:t>
      </w:r>
      <w:r>
        <w:rPr>
          <w:sz w:val="24"/>
          <w:szCs w:val="24"/>
        </w:rPr>
        <w:t>国家房屋建筑和市政设施基础信息库</w:t>
      </w:r>
      <w:r>
        <w:rPr>
          <w:rFonts w:hint="eastAsia"/>
          <w:sz w:val="24"/>
          <w:szCs w:val="24"/>
        </w:rPr>
        <w:t>、</w:t>
      </w:r>
      <w:r>
        <w:rPr>
          <w:rFonts w:hint="eastAsia" w:ascii="Times New Roman" w:hAnsi="Times New Roman" w:cs="Times New Roman"/>
          <w:bCs/>
          <w:sz w:val="24"/>
          <w:szCs w:val="32"/>
        </w:rPr>
        <w:t>城市信息模型（</w:t>
      </w:r>
      <w:r>
        <w:rPr>
          <w:rFonts w:ascii="Times New Roman" w:hAnsi="Times New Roman" w:cs="Times New Roman"/>
          <w:bCs/>
          <w:sz w:val="24"/>
          <w:szCs w:val="32"/>
        </w:rPr>
        <w:t>CIM</w:t>
      </w:r>
      <w:r>
        <w:rPr>
          <w:rFonts w:hint="eastAsia" w:ascii="Times New Roman" w:hAnsi="Times New Roman" w:cs="Times New Roman"/>
          <w:bCs/>
          <w:sz w:val="24"/>
          <w:szCs w:val="32"/>
        </w:rPr>
        <w:t>）平台</w:t>
      </w:r>
      <w:r>
        <w:rPr>
          <w:rFonts w:hint="eastAsia" w:ascii="Times New Roman" w:hAnsi="Times New Roman" w:cs="Times New Roman"/>
          <w:sz w:val="24"/>
          <w:szCs w:val="32"/>
          <w:lang w:bidi="ar"/>
        </w:rPr>
        <w:t>等已有信息化平台</w:t>
      </w:r>
      <w:r>
        <w:rPr>
          <w:rFonts w:hint="eastAsia" w:ascii="Times New Roman" w:hAnsi="Times New Roman" w:cs="Times New Roman"/>
          <w:bCs/>
          <w:sz w:val="24"/>
          <w:szCs w:val="32"/>
        </w:rPr>
        <w:t>进行建设，并同步整合城市既有相关数据资源，具备条件的城市应纳入</w:t>
      </w:r>
      <w:r>
        <w:rPr>
          <w:rFonts w:hint="eastAsia" w:ascii="宋体" w:hAnsi="宋体" w:cs="Times New Roman"/>
          <w:sz w:val="24"/>
          <w:szCs w:val="28"/>
        </w:rPr>
        <w:t>城市更新统计调查、</w:t>
      </w:r>
      <w:r>
        <w:rPr>
          <w:rFonts w:hint="eastAsia" w:ascii="Times New Roman" w:hAnsi="Times New Roman" w:cs="Times New Roman"/>
          <w:bCs/>
          <w:sz w:val="24"/>
          <w:szCs w:val="32"/>
        </w:rPr>
        <w:t>全国自然灾害综合风险普查房屋建筑和市政设施调查数据。</w:t>
      </w:r>
    </w:p>
    <w:p w14:paraId="0563B7F3">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rPr>
        <w:t>7.2.2</w:t>
      </w:r>
      <w:r>
        <w:rPr>
          <w:rFonts w:hint="eastAsia" w:ascii="Times New Roman" w:hAnsi="Times New Roman" w:cs="Times New Roman"/>
          <w:b/>
          <w:bCs/>
          <w:sz w:val="24"/>
          <w:szCs w:val="32"/>
        </w:rPr>
        <w:t xml:space="preserve"> </w:t>
      </w:r>
      <w:r>
        <w:rPr>
          <w:rFonts w:hint="eastAsia" w:ascii="Times New Roman" w:hAnsi="Times New Roman" w:cs="Times New Roman"/>
          <w:bCs/>
          <w:sz w:val="24"/>
          <w:szCs w:val="32"/>
        </w:rPr>
        <w:t>城市体检评估信息</w:t>
      </w:r>
      <w:r>
        <w:rPr>
          <w:rFonts w:ascii="Times New Roman" w:hAnsi="Times New Roman" w:cs="Times New Roman"/>
          <w:sz w:val="24"/>
          <w:szCs w:val="32"/>
        </w:rPr>
        <w:t>平台应服务于管理决策、专业技术、调研采集等多元</w:t>
      </w:r>
      <w:r>
        <w:rPr>
          <w:rFonts w:hint="eastAsia" w:ascii="Times New Roman" w:hAnsi="Times New Roman" w:cs="Times New Roman"/>
          <w:sz w:val="24"/>
          <w:szCs w:val="32"/>
        </w:rPr>
        <w:t>需求</w:t>
      </w:r>
      <w:r>
        <w:rPr>
          <w:rFonts w:ascii="Times New Roman" w:hAnsi="Times New Roman" w:cs="Times New Roman"/>
          <w:sz w:val="24"/>
          <w:szCs w:val="32"/>
        </w:rPr>
        <w:t>，并逐步建设以下核心功能模块：</w:t>
      </w:r>
    </w:p>
    <w:p w14:paraId="37BB1129">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1</w:t>
      </w:r>
      <w:r>
        <w:rPr>
          <w:rFonts w:ascii="宋体" w:hAnsi="宋体" w:cs="宋体"/>
          <w:bCs/>
          <w:kern w:val="0"/>
          <w:sz w:val="24"/>
          <w:szCs w:val="24"/>
          <w:lang w:bidi="ar"/>
        </w:rPr>
        <w:t xml:space="preserve"> </w:t>
      </w:r>
      <w:r>
        <w:rPr>
          <w:rFonts w:hint="eastAsia" w:ascii="宋体" w:hAnsi="宋体" w:cs="宋体"/>
          <w:kern w:val="0"/>
          <w:sz w:val="24"/>
          <w:szCs w:val="24"/>
          <w:lang w:bidi="ar"/>
        </w:rPr>
        <w:t>数据采集模块应提供部门填报、专业调查与居民问卷等工具；</w:t>
      </w:r>
    </w:p>
    <w:p w14:paraId="0D75B60F">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2</w:t>
      </w:r>
      <w:r>
        <w:rPr>
          <w:rFonts w:ascii="宋体" w:hAnsi="宋体" w:cs="宋体"/>
          <w:bCs/>
          <w:kern w:val="0"/>
          <w:sz w:val="24"/>
          <w:szCs w:val="24"/>
          <w:lang w:bidi="ar"/>
        </w:rPr>
        <w:t xml:space="preserve"> </w:t>
      </w:r>
      <w:r>
        <w:rPr>
          <w:rFonts w:hint="eastAsia" w:ascii="宋体" w:hAnsi="宋体" w:cs="宋体"/>
          <w:kern w:val="0"/>
          <w:sz w:val="24"/>
          <w:szCs w:val="24"/>
          <w:lang w:bidi="ar"/>
        </w:rPr>
        <w:t>辅助决策模块应支持多维度指标计算、分析与可视化，支持体检报告自动生成；</w:t>
      </w:r>
    </w:p>
    <w:p w14:paraId="4039B69D">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3</w:t>
      </w:r>
      <w:r>
        <w:rPr>
          <w:rFonts w:ascii="宋体" w:hAnsi="宋体" w:cs="宋体"/>
          <w:bCs/>
          <w:kern w:val="0"/>
          <w:sz w:val="24"/>
          <w:szCs w:val="24"/>
          <w:lang w:bidi="ar"/>
        </w:rPr>
        <w:t xml:space="preserve"> </w:t>
      </w:r>
      <w:r>
        <w:rPr>
          <w:rFonts w:hint="eastAsia" w:ascii="宋体" w:hAnsi="宋体" w:cs="宋体"/>
          <w:kern w:val="0"/>
          <w:sz w:val="24"/>
          <w:szCs w:val="24"/>
          <w:lang w:bidi="ar"/>
        </w:rPr>
        <w:t>问题整治模块应实现问题清单与整治建议的在线管理与跟踪；</w:t>
      </w:r>
    </w:p>
    <w:p w14:paraId="20518DEE">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4</w:t>
      </w:r>
      <w:r>
        <w:rPr>
          <w:rFonts w:ascii="宋体" w:hAnsi="宋体" w:cs="宋体"/>
          <w:bCs/>
          <w:kern w:val="0"/>
          <w:sz w:val="24"/>
          <w:szCs w:val="24"/>
          <w:lang w:bidi="ar"/>
        </w:rPr>
        <w:t xml:space="preserve"> </w:t>
      </w:r>
      <w:r>
        <w:rPr>
          <w:rFonts w:hint="eastAsia" w:ascii="宋体" w:hAnsi="宋体" w:cs="宋体"/>
          <w:kern w:val="0"/>
          <w:sz w:val="24"/>
          <w:szCs w:val="24"/>
          <w:lang w:bidi="ar"/>
        </w:rPr>
        <w:t>更新项目模块应支持或对接项目全生命周期管理功能；</w:t>
      </w:r>
    </w:p>
    <w:p w14:paraId="63EB0EA7">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5</w:t>
      </w:r>
      <w:r>
        <w:rPr>
          <w:rFonts w:ascii="宋体" w:hAnsi="宋体" w:cs="宋体"/>
          <w:bCs/>
          <w:kern w:val="0"/>
          <w:sz w:val="24"/>
          <w:szCs w:val="24"/>
          <w:lang w:bidi="ar"/>
        </w:rPr>
        <w:t xml:space="preserve"> </w:t>
      </w:r>
      <w:r>
        <w:rPr>
          <w:rFonts w:hint="eastAsia" w:ascii="宋体" w:hAnsi="宋体" w:cs="宋体"/>
          <w:kern w:val="0"/>
          <w:sz w:val="24"/>
          <w:szCs w:val="24"/>
          <w:lang w:bidi="ar"/>
        </w:rPr>
        <w:t>成效评估模块应对城市更新等行动的实施效果进行综合评估；</w:t>
      </w:r>
    </w:p>
    <w:p w14:paraId="7C4F6939">
      <w:pPr>
        <w:widowControl/>
        <w:spacing w:after="156" w:afterLines="50" w:line="278" w:lineRule="auto"/>
        <w:ind w:firstLine="420"/>
        <w:rPr>
          <w:rFonts w:ascii="宋体" w:hAnsi="宋体" w:cs="宋体"/>
          <w:kern w:val="0"/>
          <w:sz w:val="24"/>
          <w:szCs w:val="24"/>
          <w:lang w:bidi="ar"/>
        </w:rPr>
      </w:pPr>
      <w:r>
        <w:rPr>
          <w:rFonts w:ascii="Times New Roman" w:hAnsi="Times New Roman" w:cs="Times New Roman"/>
          <w:bCs/>
          <w:kern w:val="0"/>
          <w:sz w:val="24"/>
          <w:szCs w:val="24"/>
          <w:lang w:bidi="ar"/>
        </w:rPr>
        <w:t>6</w:t>
      </w:r>
      <w:r>
        <w:rPr>
          <w:rFonts w:ascii="宋体" w:hAnsi="宋体" w:cs="宋体"/>
          <w:kern w:val="0"/>
          <w:sz w:val="24"/>
          <w:szCs w:val="24"/>
          <w:lang w:bidi="ar"/>
        </w:rPr>
        <w:t xml:space="preserve"> </w:t>
      </w:r>
      <w:r>
        <w:rPr>
          <w:rFonts w:hint="eastAsia" w:ascii="宋体" w:hAnsi="宋体" w:cs="宋体"/>
          <w:kern w:val="0"/>
          <w:sz w:val="24"/>
          <w:szCs w:val="24"/>
          <w:lang w:bidi="ar"/>
        </w:rPr>
        <w:t>统筹协调模块应支撑跨部门协同与工作统筹；</w:t>
      </w:r>
    </w:p>
    <w:p w14:paraId="4DBCA16E">
      <w:pPr>
        <w:widowControl/>
        <w:spacing w:after="156" w:afterLines="50" w:line="278" w:lineRule="auto"/>
        <w:ind w:firstLine="420"/>
        <w:rPr>
          <w:rFonts w:ascii="宋体" w:hAnsi="宋体" w:cs="宋体"/>
          <w:kern w:val="0"/>
          <w:sz w:val="24"/>
          <w:szCs w:val="24"/>
          <w:lang w:bidi="ar"/>
        </w:rPr>
      </w:pPr>
      <w:r>
        <w:rPr>
          <w:rFonts w:hint="eastAsia" w:ascii="Times New Roman" w:hAnsi="Times New Roman" w:cs="Times New Roman"/>
          <w:bCs/>
          <w:kern w:val="0"/>
          <w:sz w:val="24"/>
          <w:szCs w:val="24"/>
          <w:lang w:bidi="ar"/>
        </w:rPr>
        <w:t>7</w:t>
      </w:r>
      <w:r>
        <w:rPr>
          <w:rFonts w:hint="eastAsia" w:ascii="宋体" w:hAnsi="宋体" w:cs="宋体"/>
          <w:kern w:val="0"/>
          <w:sz w:val="24"/>
          <w:szCs w:val="24"/>
          <w:lang w:bidi="ar"/>
        </w:rPr>
        <w:t xml:space="preserve"> 平台应支持针对专项体检的定制化应用场景开发。</w:t>
      </w:r>
    </w:p>
    <w:p w14:paraId="2E9B11AB">
      <w:pPr>
        <w:widowControl/>
        <w:spacing w:after="160" w:line="278" w:lineRule="auto"/>
        <w:outlineLvl w:val="2"/>
        <w:rPr>
          <w:rFonts w:ascii="Times New Roman" w:hAnsi="Times New Roman" w:cs="Times New Roman"/>
          <w:sz w:val="24"/>
          <w:szCs w:val="32"/>
        </w:rPr>
      </w:pPr>
      <w:r>
        <w:rPr>
          <w:rFonts w:ascii="Times New Roman" w:hAnsi="Times New Roman" w:cs="Times New Roman"/>
          <w:b/>
          <w:bCs/>
          <w:sz w:val="24"/>
          <w:szCs w:val="32"/>
          <w:lang w:bidi="ar"/>
        </w:rPr>
        <w:t>7.2.</w:t>
      </w:r>
      <w:r>
        <w:rPr>
          <w:rFonts w:hint="eastAsia" w:ascii="Times New Roman" w:hAnsi="Times New Roman" w:cs="Times New Roman"/>
          <w:b/>
          <w:bCs/>
          <w:sz w:val="24"/>
          <w:szCs w:val="32"/>
          <w:lang w:bidi="ar"/>
        </w:rPr>
        <w:t xml:space="preserve">3 </w:t>
      </w:r>
      <w:r>
        <w:rPr>
          <w:rFonts w:hint="eastAsia" w:ascii="Times New Roman" w:hAnsi="Times New Roman" w:cs="Times New Roman"/>
          <w:bCs/>
          <w:sz w:val="24"/>
          <w:szCs w:val="32"/>
        </w:rPr>
        <w:t>城市体检评估信息</w:t>
      </w:r>
      <w:r>
        <w:rPr>
          <w:rFonts w:hint="eastAsia" w:ascii="Times New Roman" w:hAnsi="Times New Roman" w:cs="Times New Roman"/>
          <w:sz w:val="24"/>
          <w:szCs w:val="32"/>
        </w:rPr>
        <w:t>平台应在基础硬件、基础软件、应用软件及信息安全等方面，符合国产化信息技术应用创新相关要求。平台安全保护等级应符合现行国家标准《信息安全技术网络安全等级保护定级指南》GB/T22240、《信息安全技术网络安全等级保护基本要求》GB/T22239、《信息安全技术网络安全等级保护安全设计技术要求》GB/T25070的有关规定。涉及居民个人信息的问卷调查及手机信令等敏感数据，应建立严格的隐私保护机制，执行数据脱敏处理与分类分级管控。</w:t>
      </w:r>
    </w:p>
    <w:p w14:paraId="28886BF4">
      <w:pPr>
        <w:widowControl/>
        <w:spacing w:after="156" w:afterLines="50" w:line="278" w:lineRule="auto"/>
        <w:outlineLvl w:val="2"/>
        <w:rPr>
          <w:rFonts w:ascii="宋体" w:hAnsi="宋体" w:cs="宋体"/>
          <w:sz w:val="24"/>
          <w:szCs w:val="32"/>
        </w:rPr>
      </w:pPr>
      <w:r>
        <w:rPr>
          <w:rFonts w:ascii="Times New Roman" w:hAnsi="Times New Roman" w:cs="Times New Roman"/>
          <w:b/>
          <w:bCs/>
          <w:sz w:val="24"/>
          <w:szCs w:val="32"/>
          <w:lang w:bidi="ar"/>
        </w:rPr>
        <w:t>7.2.</w:t>
      </w:r>
      <w:r>
        <w:rPr>
          <w:rFonts w:hint="eastAsia" w:ascii="Times New Roman" w:hAnsi="Times New Roman" w:cs="Times New Roman"/>
          <w:b/>
          <w:bCs/>
          <w:sz w:val="24"/>
          <w:szCs w:val="32"/>
          <w:lang w:bidi="ar"/>
        </w:rPr>
        <w:t xml:space="preserve">4 </w:t>
      </w:r>
      <w:r>
        <w:rPr>
          <w:rFonts w:hint="eastAsia" w:ascii="Times New Roman" w:hAnsi="Times New Roman" w:cs="Times New Roman"/>
          <w:bCs/>
          <w:sz w:val="24"/>
          <w:szCs w:val="32"/>
        </w:rPr>
        <w:t>城市体检评估信息</w:t>
      </w:r>
      <w:r>
        <w:rPr>
          <w:rFonts w:hint="eastAsia" w:ascii="宋体" w:hAnsi="宋体" w:cs="宋体"/>
          <w:sz w:val="24"/>
          <w:szCs w:val="32"/>
        </w:rPr>
        <w:t>平台宜集成运用人工智能与大模型、大数据、地理信息系统（</w:t>
      </w:r>
      <w:r>
        <w:rPr>
          <w:rFonts w:ascii="宋体" w:hAnsi="宋体" w:cs="宋体"/>
          <w:sz w:val="24"/>
          <w:szCs w:val="32"/>
        </w:rPr>
        <w:t>GIS）及遥感等技术，以提升智能化水平：</w:t>
      </w:r>
    </w:p>
    <w:p w14:paraId="67810B6B">
      <w:pPr>
        <w:spacing w:after="160" w:line="278" w:lineRule="auto"/>
        <w:ind w:firstLine="480" w:firstLineChars="200"/>
        <w:rPr>
          <w:rFonts w:ascii="宋体" w:hAnsi="宋体" w:cs="宋体"/>
          <w:sz w:val="24"/>
          <w:szCs w:val="28"/>
        </w:rPr>
      </w:pPr>
      <w:r>
        <w:rPr>
          <w:rFonts w:ascii="Times New Roman" w:hAnsi="Times New Roman" w:cs="Times New Roman"/>
          <w:bCs/>
          <w:kern w:val="0"/>
          <w:sz w:val="24"/>
          <w:szCs w:val="24"/>
          <w:lang w:bidi="ar"/>
        </w:rPr>
        <w:t>1</w:t>
      </w:r>
      <w:r>
        <w:rPr>
          <w:rFonts w:ascii="宋体" w:hAnsi="宋体" w:cs="宋体"/>
          <w:bCs/>
          <w:sz w:val="24"/>
          <w:szCs w:val="28"/>
        </w:rPr>
        <w:t xml:space="preserve"> </w:t>
      </w:r>
      <w:r>
        <w:rPr>
          <w:rFonts w:ascii="宋体" w:hAnsi="宋体" w:cs="宋体"/>
          <w:sz w:val="24"/>
          <w:szCs w:val="28"/>
        </w:rPr>
        <w:t>人工智能与大模型</w:t>
      </w:r>
      <w:r>
        <w:rPr>
          <w:rFonts w:hint="eastAsia" w:ascii="宋体" w:hAnsi="宋体" w:cs="宋体"/>
          <w:sz w:val="24"/>
          <w:szCs w:val="28"/>
        </w:rPr>
        <w:t>应</w:t>
      </w:r>
      <w:r>
        <w:rPr>
          <w:rFonts w:ascii="宋体" w:hAnsi="宋体" w:cs="宋体"/>
          <w:sz w:val="24"/>
          <w:szCs w:val="28"/>
        </w:rPr>
        <w:t>构建人工智能算法模型，实现问题识别分类，风险智能</w:t>
      </w:r>
      <w:r>
        <w:rPr>
          <w:rFonts w:hint="eastAsia" w:ascii="宋体" w:hAnsi="宋体" w:cs="宋体"/>
          <w:sz w:val="24"/>
          <w:szCs w:val="28"/>
        </w:rPr>
        <w:t>研判与预警；建立基于大模型的片区策划方案自动生成、城市体检知识问答等应用；</w:t>
      </w:r>
    </w:p>
    <w:p w14:paraId="5149A935">
      <w:pPr>
        <w:spacing w:after="160" w:line="278" w:lineRule="auto"/>
        <w:ind w:firstLine="480" w:firstLineChars="200"/>
        <w:rPr>
          <w:rFonts w:ascii="宋体" w:hAnsi="宋体" w:cs="宋体"/>
          <w:sz w:val="24"/>
          <w:szCs w:val="28"/>
        </w:rPr>
      </w:pPr>
      <w:r>
        <w:rPr>
          <w:rFonts w:ascii="Times New Roman" w:hAnsi="Times New Roman" w:cs="Times New Roman"/>
          <w:bCs/>
          <w:kern w:val="0"/>
          <w:sz w:val="24"/>
          <w:szCs w:val="24"/>
          <w:lang w:bidi="ar"/>
        </w:rPr>
        <w:t>2</w:t>
      </w:r>
      <w:r>
        <w:rPr>
          <w:rFonts w:ascii="宋体" w:hAnsi="宋体" w:cs="宋体"/>
          <w:bCs/>
          <w:sz w:val="24"/>
          <w:szCs w:val="28"/>
        </w:rPr>
        <w:t xml:space="preserve"> </w:t>
      </w:r>
      <w:r>
        <w:rPr>
          <w:rFonts w:ascii="宋体" w:hAnsi="宋体" w:cs="宋体"/>
          <w:sz w:val="24"/>
          <w:szCs w:val="28"/>
        </w:rPr>
        <w:t>大数据</w:t>
      </w:r>
      <w:r>
        <w:rPr>
          <w:rFonts w:hint="eastAsia" w:ascii="宋体" w:hAnsi="宋体" w:cs="宋体"/>
          <w:sz w:val="24"/>
          <w:szCs w:val="28"/>
        </w:rPr>
        <w:t>应</w:t>
      </w:r>
      <w:r>
        <w:rPr>
          <w:rFonts w:ascii="宋体" w:hAnsi="宋体" w:cs="宋体"/>
          <w:sz w:val="24"/>
          <w:szCs w:val="28"/>
        </w:rPr>
        <w:t>支持多源异构数据的采集、清洗、转换、存储与集成</w:t>
      </w:r>
      <w:r>
        <w:rPr>
          <w:rFonts w:hint="eastAsia" w:ascii="宋体" w:hAnsi="宋体" w:cs="宋体"/>
          <w:sz w:val="24"/>
          <w:szCs w:val="28"/>
        </w:rPr>
        <w:t>；</w:t>
      </w:r>
    </w:p>
    <w:p w14:paraId="4A8281F4">
      <w:pPr>
        <w:spacing w:after="160" w:line="278" w:lineRule="auto"/>
        <w:ind w:firstLine="480" w:firstLineChars="200"/>
        <w:rPr>
          <w:rFonts w:ascii="宋体" w:hAnsi="宋体" w:cs="宋体"/>
          <w:sz w:val="24"/>
          <w:szCs w:val="28"/>
        </w:rPr>
      </w:pPr>
      <w:r>
        <w:rPr>
          <w:rFonts w:ascii="Times New Roman" w:hAnsi="Times New Roman" w:cs="Times New Roman"/>
          <w:bCs/>
          <w:kern w:val="0"/>
          <w:sz w:val="24"/>
          <w:szCs w:val="24"/>
          <w:lang w:bidi="ar"/>
        </w:rPr>
        <w:t>3</w:t>
      </w:r>
      <w:r>
        <w:rPr>
          <w:rFonts w:ascii="宋体" w:hAnsi="宋体" w:cs="宋体"/>
          <w:sz w:val="24"/>
          <w:szCs w:val="28"/>
        </w:rPr>
        <w:t xml:space="preserve"> 地理信息系统（GIS）及遥感</w:t>
      </w:r>
      <w:r>
        <w:rPr>
          <w:rFonts w:hint="eastAsia" w:ascii="宋体" w:hAnsi="宋体" w:cs="宋体"/>
          <w:sz w:val="24"/>
          <w:szCs w:val="28"/>
        </w:rPr>
        <w:t>应</w:t>
      </w:r>
      <w:r>
        <w:rPr>
          <w:rFonts w:ascii="宋体" w:hAnsi="宋体" w:cs="宋体"/>
          <w:sz w:val="24"/>
          <w:szCs w:val="28"/>
        </w:rPr>
        <w:t>集成空间统计、空间拓扑、空间优化及空间模拟等算法模型，支撑体检指标空间分析。</w:t>
      </w:r>
    </w:p>
    <w:p w14:paraId="422976BB">
      <w:pPr>
        <w:spacing w:after="156" w:afterLines="50" w:line="278" w:lineRule="auto"/>
        <w:ind w:firstLine="420"/>
        <w:rPr>
          <w:rFonts w:ascii="楷体" w:hAnsi="楷体" w:eastAsia="楷体" w:cs="宋体"/>
          <w:szCs w:val="22"/>
          <w:lang w:bidi="ar"/>
        </w:rPr>
      </w:pPr>
      <w:r>
        <w:rPr>
          <w:rFonts w:ascii="楷体" w:hAnsi="楷体" w:eastAsia="楷体" w:cs="宋体"/>
          <w:szCs w:val="22"/>
          <w:lang w:bidi="ar"/>
        </w:rPr>
        <w:br w:type="page"/>
      </w:r>
    </w:p>
    <w:bookmarkEnd w:id="48"/>
    <w:p w14:paraId="39AEEF2C">
      <w:pPr>
        <w:widowControl/>
        <w:spacing w:after="156" w:afterLines="50" w:line="278" w:lineRule="auto"/>
        <w:jc w:val="center"/>
        <w:outlineLvl w:val="0"/>
        <w:rPr>
          <w:rFonts w:ascii="宋体" w:hAnsi="宋体" w:cs="Times New Roman"/>
          <w:b/>
          <w:bCs/>
          <w:kern w:val="0"/>
        </w:rPr>
      </w:pPr>
      <w:bookmarkStart w:id="49" w:name="_Toc211952380"/>
      <w:bookmarkStart w:id="50" w:name="_Toc221291513"/>
      <w:r>
        <w:rPr>
          <w:rFonts w:hint="eastAsia" w:ascii="宋体" w:hAnsi="宋体" w:cs="Times New Roman"/>
          <w:b/>
          <w:bCs/>
          <w:kern w:val="0"/>
        </w:rPr>
        <w:t xml:space="preserve">附录A </w:t>
      </w:r>
      <w:bookmarkStart w:id="51" w:name="_Hlk216526002"/>
      <w:r>
        <w:rPr>
          <w:rFonts w:hint="eastAsia" w:ascii="宋体" w:hAnsi="宋体" w:cs="Times New Roman"/>
          <w:b/>
          <w:bCs/>
          <w:kern w:val="0"/>
        </w:rPr>
        <w:t>城市体检指标</w:t>
      </w:r>
      <w:bookmarkEnd w:id="49"/>
      <w:r>
        <w:rPr>
          <w:rFonts w:hint="eastAsia" w:ascii="宋体" w:hAnsi="宋体" w:cs="Times New Roman"/>
          <w:b/>
          <w:bCs/>
          <w:kern w:val="0"/>
        </w:rPr>
        <w:t>汇总表示例</w:t>
      </w:r>
      <w:bookmarkEnd w:id="50"/>
      <w:bookmarkEnd w:id="51"/>
    </w:p>
    <w:p w14:paraId="6D1840CB">
      <w:pPr>
        <w:spacing w:after="160" w:line="278" w:lineRule="auto"/>
        <w:jc w:val="center"/>
        <w:rPr>
          <w:rFonts w:ascii="黑体" w:hAnsi="黑体" w:eastAsia="黑体" w:cs="Times New Roman"/>
          <w:szCs w:val="22"/>
        </w:rPr>
      </w:pPr>
      <w:r>
        <w:rPr>
          <w:rFonts w:hint="eastAsia" w:ascii="黑体" w:hAnsi="黑体" w:eastAsia="黑体" w:cs="Times New Roman"/>
          <w:szCs w:val="22"/>
        </w:rPr>
        <w:t>表</w:t>
      </w:r>
      <w:r>
        <w:rPr>
          <w:rFonts w:ascii="黑体" w:hAnsi="黑体" w:eastAsia="黑体" w:cs="Times New Roman"/>
          <w:szCs w:val="22"/>
        </w:rPr>
        <w:t xml:space="preserve">A.0.1 </w:t>
      </w:r>
      <w:r>
        <w:rPr>
          <w:rFonts w:hint="eastAsia" w:ascii="黑体" w:hAnsi="黑体" w:eastAsia="黑体" w:cs="Times New Roman"/>
          <w:szCs w:val="22"/>
        </w:rPr>
        <w:t>城市体检指标汇总表</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0"/>
        <w:gridCol w:w="967"/>
        <w:gridCol w:w="1275"/>
        <w:gridCol w:w="1275"/>
        <w:gridCol w:w="1417"/>
        <w:gridCol w:w="1922"/>
      </w:tblGrid>
      <w:tr w14:paraId="0CCE3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vAlign w:val="center"/>
          </w:tcPr>
          <w:p w14:paraId="1CD6FA7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维度</w:t>
            </w:r>
          </w:p>
        </w:tc>
        <w:tc>
          <w:tcPr>
            <w:tcW w:w="583" w:type="pct"/>
            <w:vAlign w:val="center"/>
          </w:tcPr>
          <w:p w14:paraId="5069ADD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768" w:type="pct"/>
            <w:vAlign w:val="center"/>
          </w:tcPr>
          <w:p w14:paraId="7F6E0ED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指标名称（单位）</w:t>
            </w:r>
          </w:p>
        </w:tc>
        <w:tc>
          <w:tcPr>
            <w:tcW w:w="768" w:type="pct"/>
            <w:vAlign w:val="center"/>
          </w:tcPr>
          <w:p w14:paraId="0004956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指标结果</w:t>
            </w:r>
          </w:p>
        </w:tc>
        <w:tc>
          <w:tcPr>
            <w:tcW w:w="854" w:type="pct"/>
            <w:vAlign w:val="center"/>
          </w:tcPr>
          <w:p w14:paraId="463BB85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参考值/上一周期指标结果</w:t>
            </w:r>
          </w:p>
        </w:tc>
        <w:tc>
          <w:tcPr>
            <w:tcW w:w="1158" w:type="pct"/>
            <w:vAlign w:val="center"/>
          </w:tcPr>
          <w:p w14:paraId="048E82D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指标评价</w:t>
            </w:r>
          </w:p>
        </w:tc>
      </w:tr>
      <w:tr w14:paraId="0D240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868" w:type="pct"/>
            <w:vMerge w:val="restart"/>
            <w:vAlign w:val="center"/>
          </w:tcPr>
          <w:p w14:paraId="659028E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住房维度</w:t>
            </w:r>
          </w:p>
        </w:tc>
        <w:tc>
          <w:tcPr>
            <w:tcW w:w="583" w:type="pct"/>
            <w:vAlign w:val="center"/>
          </w:tcPr>
          <w:p w14:paraId="558CBA58">
            <w:pPr>
              <w:spacing w:after="160" w:line="278" w:lineRule="auto"/>
              <w:jc w:val="center"/>
              <w:rPr>
                <w:rFonts w:cs="Times New Roman" w:asciiTheme="minorEastAsia" w:hAnsiTheme="minorEastAsia" w:eastAsiaTheme="minorEastAsia"/>
                <w:sz w:val="18"/>
                <w:szCs w:val="22"/>
              </w:rPr>
            </w:pPr>
            <w:r>
              <w:rPr>
                <w:rFonts w:cs="Times New Roman" w:asciiTheme="minorEastAsia" w:hAnsiTheme="minorEastAsia" w:eastAsiaTheme="minorEastAsia"/>
                <w:sz w:val="18"/>
                <w:szCs w:val="22"/>
              </w:rPr>
              <w:t>1</w:t>
            </w:r>
          </w:p>
        </w:tc>
        <w:tc>
          <w:tcPr>
            <w:tcW w:w="768" w:type="pct"/>
            <w:vAlign w:val="center"/>
          </w:tcPr>
          <w:p w14:paraId="068926CA">
            <w:pPr>
              <w:spacing w:after="160" w:line="278" w:lineRule="auto"/>
              <w:jc w:val="center"/>
              <w:rPr>
                <w:rFonts w:cs="Times New Roman" w:asciiTheme="minorEastAsia" w:hAnsiTheme="minorEastAsia" w:eastAsiaTheme="minorEastAsia"/>
                <w:sz w:val="18"/>
                <w:szCs w:val="22"/>
              </w:rPr>
            </w:pPr>
            <w:r>
              <w:rPr>
                <w:rFonts w:cs="Times New Roman" w:asciiTheme="minorEastAsia" w:hAnsiTheme="minorEastAsia" w:eastAsiaTheme="minorEastAsia"/>
                <w:sz w:val="18"/>
                <w:szCs w:val="22"/>
              </w:rPr>
              <w:t>XX</w:t>
            </w:r>
          </w:p>
        </w:tc>
        <w:tc>
          <w:tcPr>
            <w:tcW w:w="768" w:type="pct"/>
            <w:vAlign w:val="center"/>
          </w:tcPr>
          <w:p w14:paraId="351CE354">
            <w:pPr>
              <w:spacing w:after="160" w:line="278" w:lineRule="auto"/>
              <w:jc w:val="center"/>
              <w:rPr>
                <w:rFonts w:cs="Times New Roman" w:asciiTheme="minorEastAsia" w:hAnsiTheme="minorEastAsia" w:eastAsiaTheme="minorEastAsia"/>
                <w:sz w:val="18"/>
                <w:szCs w:val="22"/>
              </w:rPr>
            </w:pPr>
            <w:r>
              <w:rPr>
                <w:rFonts w:cs="Times New Roman" w:asciiTheme="minorEastAsia" w:hAnsiTheme="minorEastAsia" w:eastAsiaTheme="minorEastAsia"/>
                <w:sz w:val="18"/>
                <w:szCs w:val="22"/>
              </w:rPr>
              <w:t>XX</w:t>
            </w:r>
          </w:p>
        </w:tc>
        <w:tc>
          <w:tcPr>
            <w:tcW w:w="854" w:type="pct"/>
            <w:vAlign w:val="center"/>
          </w:tcPr>
          <w:p w14:paraId="0653DB7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58" w:type="pct"/>
            <w:vAlign w:val="center"/>
          </w:tcPr>
          <w:p w14:paraId="554F9DD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r w14:paraId="3C8A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vMerge w:val="continue"/>
            <w:vAlign w:val="center"/>
          </w:tcPr>
          <w:p w14:paraId="5390FA5E">
            <w:pPr>
              <w:spacing w:after="160" w:line="278" w:lineRule="auto"/>
              <w:jc w:val="center"/>
              <w:rPr>
                <w:rFonts w:cs="Times New Roman" w:asciiTheme="minorEastAsia" w:hAnsiTheme="minorEastAsia" w:eastAsiaTheme="minorEastAsia"/>
                <w:sz w:val="18"/>
                <w:szCs w:val="22"/>
              </w:rPr>
            </w:pPr>
          </w:p>
        </w:tc>
        <w:tc>
          <w:tcPr>
            <w:tcW w:w="583" w:type="pct"/>
            <w:vAlign w:val="center"/>
          </w:tcPr>
          <w:p w14:paraId="7D5B3FBC">
            <w:pPr>
              <w:spacing w:after="160" w:line="278" w:lineRule="auto"/>
              <w:jc w:val="center"/>
              <w:rPr>
                <w:rFonts w:cs="Times New Roman" w:asciiTheme="minorEastAsia" w:hAnsiTheme="minorEastAsia" w:eastAsiaTheme="minorEastAsia"/>
                <w:sz w:val="18"/>
                <w:szCs w:val="22"/>
              </w:rPr>
            </w:pPr>
            <w:r>
              <w:rPr>
                <w:rFonts w:cs="Times New Roman" w:asciiTheme="minorEastAsia" w:hAnsiTheme="minorEastAsia" w:eastAsiaTheme="minorEastAsia"/>
                <w:sz w:val="18"/>
                <w:szCs w:val="22"/>
              </w:rPr>
              <w:t>2</w:t>
            </w:r>
          </w:p>
        </w:tc>
        <w:tc>
          <w:tcPr>
            <w:tcW w:w="768" w:type="pct"/>
            <w:vAlign w:val="center"/>
          </w:tcPr>
          <w:p w14:paraId="30E1064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8" w:type="pct"/>
            <w:vAlign w:val="center"/>
          </w:tcPr>
          <w:p w14:paraId="6BAE0EE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854" w:type="pct"/>
            <w:vAlign w:val="center"/>
          </w:tcPr>
          <w:p w14:paraId="63434B4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58" w:type="pct"/>
            <w:vAlign w:val="center"/>
          </w:tcPr>
          <w:p w14:paraId="76F5F85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r w14:paraId="6150A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68" w:type="pct"/>
            <w:vMerge w:val="continue"/>
            <w:vAlign w:val="center"/>
          </w:tcPr>
          <w:p w14:paraId="1525DE6A">
            <w:pPr>
              <w:spacing w:after="160" w:line="278" w:lineRule="auto"/>
              <w:jc w:val="center"/>
              <w:rPr>
                <w:rFonts w:cs="Times New Roman" w:asciiTheme="minorEastAsia" w:hAnsiTheme="minorEastAsia" w:eastAsiaTheme="minorEastAsia"/>
                <w:sz w:val="18"/>
                <w:szCs w:val="22"/>
              </w:rPr>
            </w:pPr>
          </w:p>
        </w:tc>
        <w:tc>
          <w:tcPr>
            <w:tcW w:w="583" w:type="pct"/>
            <w:vAlign w:val="center"/>
          </w:tcPr>
          <w:p w14:paraId="340CE8E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8" w:type="pct"/>
            <w:vAlign w:val="center"/>
          </w:tcPr>
          <w:p w14:paraId="6CA9C31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8" w:type="pct"/>
            <w:vAlign w:val="center"/>
          </w:tcPr>
          <w:p w14:paraId="2BFB24B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854" w:type="pct"/>
            <w:vAlign w:val="center"/>
          </w:tcPr>
          <w:p w14:paraId="15E57C6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58" w:type="pct"/>
            <w:vAlign w:val="center"/>
          </w:tcPr>
          <w:p w14:paraId="46EB854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r w14:paraId="53B7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vAlign w:val="center"/>
          </w:tcPr>
          <w:p w14:paraId="1E135AF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小区（社区）</w:t>
            </w:r>
          </w:p>
          <w:p w14:paraId="5E111B1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维度</w:t>
            </w:r>
          </w:p>
        </w:tc>
        <w:tc>
          <w:tcPr>
            <w:tcW w:w="583" w:type="pct"/>
            <w:vAlign w:val="center"/>
          </w:tcPr>
          <w:p w14:paraId="39A2205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8" w:type="pct"/>
            <w:vAlign w:val="center"/>
          </w:tcPr>
          <w:p w14:paraId="3C1D871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8" w:type="pct"/>
            <w:vAlign w:val="center"/>
          </w:tcPr>
          <w:p w14:paraId="7EA7DF3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854" w:type="pct"/>
            <w:vAlign w:val="center"/>
          </w:tcPr>
          <w:p w14:paraId="2AB10E3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58" w:type="pct"/>
            <w:vAlign w:val="center"/>
          </w:tcPr>
          <w:p w14:paraId="01DB155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r w14:paraId="465D8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8" w:type="pct"/>
            <w:vAlign w:val="center"/>
          </w:tcPr>
          <w:p w14:paraId="2600D95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83" w:type="pct"/>
            <w:vAlign w:val="center"/>
          </w:tcPr>
          <w:p w14:paraId="3AA03DA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8" w:type="pct"/>
            <w:vAlign w:val="center"/>
          </w:tcPr>
          <w:p w14:paraId="4FC015D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8" w:type="pct"/>
            <w:vAlign w:val="center"/>
          </w:tcPr>
          <w:p w14:paraId="1D72179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854" w:type="pct"/>
            <w:vAlign w:val="center"/>
          </w:tcPr>
          <w:p w14:paraId="266B1D9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58" w:type="pct"/>
            <w:vAlign w:val="center"/>
          </w:tcPr>
          <w:p w14:paraId="3260424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52ACBF41">
      <w:pPr>
        <w:spacing w:after="160" w:line="278" w:lineRule="auto"/>
        <w:rPr>
          <w:rFonts w:ascii="黑体" w:hAnsi="黑体" w:eastAsia="黑体" w:cs="Times New Roman"/>
          <w:strike/>
          <w:szCs w:val="22"/>
        </w:rPr>
      </w:pPr>
    </w:p>
    <w:p w14:paraId="45BAFB5C">
      <w:pPr>
        <w:widowControl/>
        <w:jc w:val="left"/>
        <w:rPr>
          <w:rFonts w:ascii="黑体" w:hAnsi="黑体" w:eastAsia="黑体" w:cs="Times New Roman"/>
          <w:strike/>
          <w:szCs w:val="22"/>
        </w:rPr>
      </w:pPr>
      <w:r>
        <w:rPr>
          <w:rFonts w:ascii="黑体" w:hAnsi="黑体" w:eastAsia="黑体" w:cs="Times New Roman"/>
          <w:strike/>
          <w:szCs w:val="22"/>
        </w:rPr>
        <w:br w:type="page"/>
      </w:r>
    </w:p>
    <w:p w14:paraId="1F79C1E0">
      <w:pPr>
        <w:widowControl/>
        <w:spacing w:after="156" w:afterLines="50" w:line="278" w:lineRule="auto"/>
        <w:jc w:val="center"/>
        <w:outlineLvl w:val="0"/>
        <w:rPr>
          <w:rFonts w:ascii="宋体" w:hAnsi="宋体" w:cs="Times New Roman"/>
          <w:b/>
          <w:bCs/>
          <w:kern w:val="0"/>
        </w:rPr>
      </w:pPr>
      <w:bookmarkStart w:id="52" w:name="_Toc211952381"/>
      <w:bookmarkStart w:id="53" w:name="_Toc221291514"/>
      <w:r>
        <w:rPr>
          <w:rFonts w:hint="eastAsia" w:ascii="宋体" w:hAnsi="宋体" w:cs="Times New Roman"/>
          <w:b/>
          <w:bCs/>
          <w:kern w:val="0"/>
        </w:rPr>
        <w:t>附录B 各维度问题清单</w:t>
      </w:r>
      <w:bookmarkEnd w:id="52"/>
      <w:bookmarkEnd w:id="53"/>
    </w:p>
    <w:p w14:paraId="748B849C">
      <w:pPr>
        <w:spacing w:after="160" w:line="278" w:lineRule="auto"/>
        <w:jc w:val="center"/>
        <w:rPr>
          <w:rFonts w:ascii="黑体" w:hAnsi="黑体" w:eastAsia="黑体" w:cs="Times New Roman"/>
          <w:szCs w:val="22"/>
        </w:rPr>
      </w:pPr>
      <w:r>
        <w:rPr>
          <w:rFonts w:hint="eastAsia" w:ascii="黑体" w:hAnsi="黑体" w:eastAsia="黑体" w:cs="Times New Roman"/>
          <w:szCs w:val="22"/>
        </w:rPr>
        <w:t>表B.0.1 住房维度体检问题清单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2187"/>
        <w:gridCol w:w="1940"/>
        <w:gridCol w:w="3302"/>
      </w:tblGrid>
      <w:tr w14:paraId="58EAD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pct"/>
            <w:vAlign w:val="center"/>
          </w:tcPr>
          <w:p w14:paraId="55FF309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1318" w:type="pct"/>
            <w:vAlign w:val="center"/>
          </w:tcPr>
          <w:p w14:paraId="11FAD95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指标项（单位）</w:t>
            </w:r>
          </w:p>
        </w:tc>
        <w:tc>
          <w:tcPr>
            <w:tcW w:w="1169" w:type="pct"/>
            <w:vAlign w:val="center"/>
          </w:tcPr>
          <w:p w14:paraId="05B06AE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体检结果</w:t>
            </w:r>
          </w:p>
        </w:tc>
        <w:tc>
          <w:tcPr>
            <w:tcW w:w="1990" w:type="pct"/>
            <w:vAlign w:val="center"/>
          </w:tcPr>
          <w:p w14:paraId="216B1EB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问题表现</w:t>
            </w:r>
          </w:p>
        </w:tc>
      </w:tr>
      <w:tr w14:paraId="3BA6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pct"/>
            <w:vAlign w:val="center"/>
          </w:tcPr>
          <w:p w14:paraId="2051E25B">
            <w:pPr>
              <w:spacing w:after="160" w:line="278" w:lineRule="auto"/>
              <w:jc w:val="center"/>
              <w:rPr>
                <w:rFonts w:cs="Times New Roman" w:asciiTheme="minorEastAsia" w:hAnsiTheme="minorEastAsia" w:eastAsiaTheme="minorEastAsia"/>
                <w:sz w:val="18"/>
                <w:szCs w:val="22"/>
              </w:rPr>
            </w:pPr>
            <w:r>
              <w:rPr>
                <w:rFonts w:cs="Times New Roman" w:asciiTheme="minorEastAsia" w:hAnsiTheme="minorEastAsia" w:eastAsiaTheme="minorEastAsia"/>
                <w:sz w:val="18"/>
                <w:szCs w:val="22"/>
              </w:rPr>
              <w:t>1</w:t>
            </w:r>
          </w:p>
        </w:tc>
        <w:tc>
          <w:tcPr>
            <w:tcW w:w="1318" w:type="pct"/>
            <w:vAlign w:val="center"/>
          </w:tcPr>
          <w:p w14:paraId="2CAB169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存在结构安全隐患的住宅（栋）</w:t>
            </w:r>
          </w:p>
        </w:tc>
        <w:tc>
          <w:tcPr>
            <w:tcW w:w="1169" w:type="pct"/>
            <w:vAlign w:val="center"/>
          </w:tcPr>
          <w:p w14:paraId="3C5C3BE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1990" w:type="pct"/>
            <w:vAlign w:val="center"/>
          </w:tcPr>
          <w:p w14:paraId="2A18EF4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共</w:t>
            </w:r>
            <w:r>
              <w:rPr>
                <w:rFonts w:cs="Times New Roman" w:asciiTheme="minorEastAsia" w:hAnsiTheme="minorEastAsia" w:eastAsiaTheme="minorEastAsia"/>
                <w:sz w:val="18"/>
                <w:szCs w:val="22"/>
              </w:rPr>
              <w:t>XX栋住宅存在XX问题，</w:t>
            </w:r>
            <w:r>
              <w:rPr>
                <w:rFonts w:hint="eastAsia" w:cs="Times New Roman" w:asciiTheme="minorEastAsia" w:hAnsiTheme="minorEastAsia" w:eastAsiaTheme="minorEastAsia"/>
                <w:sz w:val="18"/>
                <w:szCs w:val="22"/>
              </w:rPr>
              <w:t>其中</w:t>
            </w:r>
            <w:r>
              <w:rPr>
                <w:rFonts w:cs="Times New Roman" w:asciiTheme="minorEastAsia" w:hAnsiTheme="minorEastAsia" w:eastAsiaTheme="minorEastAsia"/>
                <w:sz w:val="18"/>
                <w:szCs w:val="22"/>
              </w:rPr>
              <w:t>XXX</w:t>
            </w:r>
            <w:r>
              <w:rPr>
                <w:rFonts w:hint="eastAsia" w:cs="Times New Roman" w:asciiTheme="minorEastAsia" w:hAnsiTheme="minorEastAsia" w:eastAsiaTheme="minorEastAsia"/>
                <w:sz w:val="18"/>
                <w:szCs w:val="22"/>
              </w:rPr>
              <w:t>栋存在……安全隐患，</w:t>
            </w:r>
            <w:r>
              <w:rPr>
                <w:rFonts w:cs="Times New Roman" w:asciiTheme="minorEastAsia" w:hAnsiTheme="minorEastAsia" w:eastAsiaTheme="minorEastAsia"/>
                <w:sz w:val="18"/>
                <w:szCs w:val="22"/>
              </w:rPr>
              <w:t>XXX</w:t>
            </w:r>
            <w:r>
              <w:rPr>
                <w:rFonts w:hint="eastAsia" w:cs="Times New Roman" w:asciiTheme="minorEastAsia" w:hAnsiTheme="minorEastAsia" w:eastAsiaTheme="minorEastAsia"/>
                <w:sz w:val="18"/>
                <w:szCs w:val="22"/>
              </w:rPr>
              <w:t>栋存在……安全隐患</w:t>
            </w:r>
          </w:p>
        </w:tc>
      </w:tr>
      <w:tr w14:paraId="4653E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3" w:type="pct"/>
            <w:vAlign w:val="center"/>
          </w:tcPr>
          <w:p w14:paraId="2CBEDCD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318" w:type="pct"/>
            <w:vAlign w:val="center"/>
          </w:tcPr>
          <w:p w14:paraId="420CECF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69" w:type="pct"/>
            <w:vAlign w:val="center"/>
          </w:tcPr>
          <w:p w14:paraId="59CD6EF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990" w:type="pct"/>
            <w:vAlign w:val="center"/>
          </w:tcPr>
          <w:p w14:paraId="2258A1E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587A1DC1">
      <w:pPr>
        <w:spacing w:after="160" w:line="278" w:lineRule="auto"/>
        <w:rPr>
          <w:rFonts w:ascii="黑体" w:hAnsi="黑体" w:eastAsia="黑体" w:cs="Times New Roman"/>
          <w:szCs w:val="22"/>
        </w:rPr>
      </w:pPr>
    </w:p>
    <w:p w14:paraId="57CC3C46">
      <w:pPr>
        <w:spacing w:after="160" w:line="278" w:lineRule="auto"/>
        <w:jc w:val="center"/>
        <w:rPr>
          <w:rFonts w:ascii="黑体" w:hAnsi="黑体" w:eastAsia="黑体" w:cs="Times New Roman"/>
          <w:szCs w:val="22"/>
        </w:rPr>
      </w:pPr>
      <w:r>
        <w:rPr>
          <w:rFonts w:hint="eastAsia" w:ascii="黑体" w:hAnsi="黑体" w:eastAsia="黑体" w:cs="Times New Roman"/>
          <w:szCs w:val="22"/>
        </w:rPr>
        <w:t>表B.0.2 小区（社区）维度体检问题清单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768"/>
        <w:gridCol w:w="669"/>
        <w:gridCol w:w="871"/>
        <w:gridCol w:w="1453"/>
        <w:gridCol w:w="2028"/>
        <w:gridCol w:w="869"/>
        <w:gridCol w:w="870"/>
      </w:tblGrid>
      <w:tr w14:paraId="3BDE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463" w:type="pct"/>
            <w:vMerge w:val="restart"/>
            <w:vAlign w:val="center"/>
          </w:tcPr>
          <w:p w14:paraId="2B8F1F5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463" w:type="pct"/>
            <w:vMerge w:val="restart"/>
            <w:vAlign w:val="center"/>
          </w:tcPr>
          <w:p w14:paraId="6758820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指标项（单位）</w:t>
            </w:r>
          </w:p>
        </w:tc>
        <w:tc>
          <w:tcPr>
            <w:tcW w:w="403" w:type="pct"/>
            <w:vMerge w:val="restart"/>
            <w:vAlign w:val="center"/>
          </w:tcPr>
          <w:p w14:paraId="4F53D93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体检结果</w:t>
            </w:r>
          </w:p>
        </w:tc>
        <w:tc>
          <w:tcPr>
            <w:tcW w:w="525" w:type="pct"/>
            <w:vMerge w:val="restart"/>
            <w:vAlign w:val="center"/>
          </w:tcPr>
          <w:p w14:paraId="5DEF788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配建情况（是/否配建）</w:t>
            </w:r>
          </w:p>
        </w:tc>
        <w:tc>
          <w:tcPr>
            <w:tcW w:w="876" w:type="pct"/>
            <w:vMerge w:val="restart"/>
            <w:vAlign w:val="center"/>
          </w:tcPr>
          <w:p w14:paraId="7A12739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居民问卷指标及评价结果</w:t>
            </w:r>
          </w:p>
        </w:tc>
        <w:tc>
          <w:tcPr>
            <w:tcW w:w="2269" w:type="pct"/>
            <w:gridSpan w:val="3"/>
            <w:vAlign w:val="center"/>
          </w:tcPr>
          <w:p w14:paraId="73D7695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问题表现</w:t>
            </w:r>
          </w:p>
        </w:tc>
      </w:tr>
      <w:tr w14:paraId="4D883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63" w:type="pct"/>
            <w:vMerge w:val="continue"/>
            <w:vAlign w:val="center"/>
          </w:tcPr>
          <w:p w14:paraId="2E0214A3">
            <w:pPr>
              <w:spacing w:after="160" w:line="278" w:lineRule="auto"/>
              <w:jc w:val="center"/>
              <w:rPr>
                <w:rFonts w:cs="Times New Roman" w:asciiTheme="minorEastAsia" w:hAnsiTheme="minorEastAsia" w:eastAsiaTheme="minorEastAsia"/>
                <w:sz w:val="18"/>
                <w:szCs w:val="22"/>
              </w:rPr>
            </w:pPr>
          </w:p>
        </w:tc>
        <w:tc>
          <w:tcPr>
            <w:tcW w:w="463" w:type="pct"/>
            <w:vMerge w:val="continue"/>
            <w:vAlign w:val="center"/>
          </w:tcPr>
          <w:p w14:paraId="043E0468">
            <w:pPr>
              <w:spacing w:after="160" w:line="278" w:lineRule="auto"/>
              <w:jc w:val="center"/>
              <w:rPr>
                <w:rFonts w:cs="Times New Roman" w:asciiTheme="minorEastAsia" w:hAnsiTheme="minorEastAsia" w:eastAsiaTheme="minorEastAsia"/>
                <w:sz w:val="18"/>
                <w:szCs w:val="22"/>
              </w:rPr>
            </w:pPr>
          </w:p>
        </w:tc>
        <w:tc>
          <w:tcPr>
            <w:tcW w:w="403" w:type="pct"/>
            <w:vMerge w:val="continue"/>
            <w:vAlign w:val="center"/>
          </w:tcPr>
          <w:p w14:paraId="03E42467">
            <w:pPr>
              <w:spacing w:after="160" w:line="278" w:lineRule="auto"/>
              <w:jc w:val="center"/>
              <w:rPr>
                <w:rFonts w:cs="Times New Roman" w:asciiTheme="minorEastAsia" w:hAnsiTheme="minorEastAsia" w:eastAsiaTheme="minorEastAsia"/>
                <w:sz w:val="18"/>
                <w:szCs w:val="22"/>
              </w:rPr>
            </w:pPr>
          </w:p>
        </w:tc>
        <w:tc>
          <w:tcPr>
            <w:tcW w:w="525" w:type="pct"/>
            <w:vMerge w:val="continue"/>
            <w:vAlign w:val="center"/>
          </w:tcPr>
          <w:p w14:paraId="70A8D531">
            <w:pPr>
              <w:spacing w:after="160" w:line="278" w:lineRule="auto"/>
              <w:jc w:val="center"/>
              <w:rPr>
                <w:rFonts w:cs="Times New Roman" w:asciiTheme="minorEastAsia" w:hAnsiTheme="minorEastAsia" w:eastAsiaTheme="minorEastAsia"/>
                <w:sz w:val="18"/>
                <w:szCs w:val="22"/>
              </w:rPr>
            </w:pPr>
          </w:p>
        </w:tc>
        <w:tc>
          <w:tcPr>
            <w:tcW w:w="876" w:type="pct"/>
            <w:vMerge w:val="continue"/>
            <w:vAlign w:val="center"/>
          </w:tcPr>
          <w:p w14:paraId="4BB8DDF8">
            <w:pPr>
              <w:spacing w:after="160" w:line="278" w:lineRule="auto"/>
              <w:jc w:val="center"/>
              <w:rPr>
                <w:rFonts w:cs="Times New Roman" w:asciiTheme="minorEastAsia" w:hAnsiTheme="minorEastAsia" w:eastAsiaTheme="minorEastAsia"/>
                <w:sz w:val="18"/>
                <w:szCs w:val="22"/>
              </w:rPr>
            </w:pPr>
          </w:p>
        </w:tc>
        <w:tc>
          <w:tcPr>
            <w:tcW w:w="1222" w:type="pct"/>
            <w:vAlign w:val="center"/>
          </w:tcPr>
          <w:p w14:paraId="7F37DD7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用地/场地/建筑等规模不足</w:t>
            </w:r>
          </w:p>
        </w:tc>
        <w:tc>
          <w:tcPr>
            <w:tcW w:w="524" w:type="pct"/>
            <w:vAlign w:val="center"/>
          </w:tcPr>
          <w:p w14:paraId="56AC5BF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功能不完善</w:t>
            </w:r>
          </w:p>
        </w:tc>
        <w:tc>
          <w:tcPr>
            <w:tcW w:w="524" w:type="pct"/>
            <w:vAlign w:val="center"/>
          </w:tcPr>
          <w:p w14:paraId="018B143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其他问题</w:t>
            </w:r>
          </w:p>
        </w:tc>
      </w:tr>
      <w:tr w14:paraId="2FE9A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63" w:type="pct"/>
            <w:vAlign w:val="center"/>
          </w:tcPr>
          <w:p w14:paraId="224ECF7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1</w:t>
            </w:r>
          </w:p>
        </w:tc>
        <w:tc>
          <w:tcPr>
            <w:tcW w:w="463" w:type="pct"/>
            <w:vAlign w:val="center"/>
          </w:tcPr>
          <w:p w14:paraId="6322946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403" w:type="pct"/>
            <w:vAlign w:val="center"/>
          </w:tcPr>
          <w:p w14:paraId="04287E0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25" w:type="pct"/>
            <w:vAlign w:val="center"/>
          </w:tcPr>
          <w:p w14:paraId="794AC01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是/否</w:t>
            </w:r>
          </w:p>
        </w:tc>
        <w:tc>
          <w:tcPr>
            <w:tcW w:w="876" w:type="pct"/>
            <w:vAlign w:val="center"/>
          </w:tcPr>
          <w:p w14:paraId="5B327773">
            <w:pPr>
              <w:spacing w:after="160" w:line="278" w:lineRule="auto"/>
              <w:jc w:val="center"/>
              <w:rPr>
                <w:rFonts w:cs="Times New Roman" w:asciiTheme="minorEastAsia" w:hAnsiTheme="minorEastAsia" w:eastAsiaTheme="minorEastAsia"/>
                <w:sz w:val="18"/>
                <w:szCs w:val="22"/>
              </w:rPr>
            </w:pPr>
          </w:p>
        </w:tc>
        <w:tc>
          <w:tcPr>
            <w:tcW w:w="1222" w:type="pct"/>
            <w:vAlign w:val="center"/>
          </w:tcPr>
          <w:p w14:paraId="77863E4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24" w:type="pct"/>
            <w:vAlign w:val="center"/>
          </w:tcPr>
          <w:p w14:paraId="2CFBB3F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24" w:type="pct"/>
            <w:vAlign w:val="center"/>
          </w:tcPr>
          <w:p w14:paraId="0E519F1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r>
      <w:tr w14:paraId="1FF71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63" w:type="pct"/>
            <w:vAlign w:val="center"/>
          </w:tcPr>
          <w:p w14:paraId="17F5999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463" w:type="pct"/>
            <w:vAlign w:val="center"/>
          </w:tcPr>
          <w:p w14:paraId="17C6100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403" w:type="pct"/>
            <w:vAlign w:val="center"/>
          </w:tcPr>
          <w:p w14:paraId="1FC40BD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25" w:type="pct"/>
            <w:vAlign w:val="center"/>
          </w:tcPr>
          <w:p w14:paraId="4B3B01B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876" w:type="pct"/>
            <w:vAlign w:val="center"/>
          </w:tcPr>
          <w:p w14:paraId="6845A30F">
            <w:pPr>
              <w:spacing w:after="160" w:line="278" w:lineRule="auto"/>
              <w:jc w:val="center"/>
              <w:rPr>
                <w:rFonts w:cs="Times New Roman" w:asciiTheme="minorEastAsia" w:hAnsiTheme="minorEastAsia" w:eastAsiaTheme="minorEastAsia"/>
                <w:sz w:val="18"/>
                <w:szCs w:val="22"/>
              </w:rPr>
            </w:pPr>
          </w:p>
        </w:tc>
        <w:tc>
          <w:tcPr>
            <w:tcW w:w="1222" w:type="pct"/>
            <w:vAlign w:val="center"/>
          </w:tcPr>
          <w:p w14:paraId="6A403C0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24" w:type="pct"/>
            <w:vAlign w:val="center"/>
          </w:tcPr>
          <w:p w14:paraId="6EC207A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24" w:type="pct"/>
            <w:vAlign w:val="center"/>
          </w:tcPr>
          <w:p w14:paraId="27DA822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4A550704">
      <w:pPr>
        <w:spacing w:after="160" w:line="278" w:lineRule="auto"/>
        <w:rPr>
          <w:rFonts w:ascii="黑体" w:hAnsi="黑体" w:eastAsia="黑体" w:cs="Times New Roman"/>
          <w:szCs w:val="22"/>
        </w:rPr>
      </w:pPr>
    </w:p>
    <w:p w14:paraId="7D0F85FD">
      <w:pPr>
        <w:spacing w:after="160" w:line="278" w:lineRule="auto"/>
        <w:jc w:val="center"/>
        <w:rPr>
          <w:rFonts w:ascii="黑体" w:hAnsi="黑体" w:eastAsia="黑体" w:cs="Times New Roman"/>
          <w:szCs w:val="22"/>
        </w:rPr>
      </w:pPr>
      <w:r>
        <w:rPr>
          <w:rFonts w:hint="eastAsia" w:ascii="黑体" w:hAnsi="黑体" w:eastAsia="黑体" w:cs="Times New Roman"/>
          <w:szCs w:val="22"/>
        </w:rPr>
        <w:t>表B.0.3 街区维度体检问题清单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9"/>
        <w:gridCol w:w="1619"/>
        <w:gridCol w:w="1404"/>
        <w:gridCol w:w="1828"/>
        <w:gridCol w:w="1826"/>
      </w:tblGrid>
      <w:tr w14:paraId="4CA3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2" w:hRule="atLeast"/>
        </w:trPr>
        <w:tc>
          <w:tcPr>
            <w:tcW w:w="976" w:type="pct"/>
            <w:vAlign w:val="center"/>
          </w:tcPr>
          <w:p w14:paraId="235BF76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976" w:type="pct"/>
            <w:vAlign w:val="center"/>
          </w:tcPr>
          <w:p w14:paraId="3BAC210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指标项（单位）</w:t>
            </w:r>
          </w:p>
        </w:tc>
        <w:tc>
          <w:tcPr>
            <w:tcW w:w="846" w:type="pct"/>
            <w:vAlign w:val="center"/>
          </w:tcPr>
          <w:p w14:paraId="5B73645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体检结果</w:t>
            </w:r>
          </w:p>
        </w:tc>
        <w:tc>
          <w:tcPr>
            <w:tcW w:w="1102" w:type="pct"/>
            <w:vAlign w:val="center"/>
          </w:tcPr>
          <w:p w14:paraId="145F464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居民问卷指标及评价结果</w:t>
            </w:r>
          </w:p>
        </w:tc>
        <w:tc>
          <w:tcPr>
            <w:tcW w:w="1100" w:type="pct"/>
            <w:vAlign w:val="center"/>
          </w:tcPr>
          <w:p w14:paraId="7B834A4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问题表现</w:t>
            </w:r>
          </w:p>
        </w:tc>
      </w:tr>
      <w:tr w14:paraId="2FBC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pct"/>
            <w:vAlign w:val="center"/>
          </w:tcPr>
          <w:p w14:paraId="742C207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1</w:t>
            </w:r>
          </w:p>
        </w:tc>
        <w:tc>
          <w:tcPr>
            <w:tcW w:w="976" w:type="pct"/>
            <w:vAlign w:val="center"/>
          </w:tcPr>
          <w:p w14:paraId="726ED85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846" w:type="pct"/>
            <w:vAlign w:val="center"/>
          </w:tcPr>
          <w:p w14:paraId="0D18018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1102" w:type="pct"/>
            <w:vAlign w:val="center"/>
          </w:tcPr>
          <w:p w14:paraId="2786E205">
            <w:pPr>
              <w:spacing w:after="160" w:line="278" w:lineRule="auto"/>
              <w:jc w:val="center"/>
              <w:rPr>
                <w:rFonts w:cs="Times New Roman" w:asciiTheme="minorEastAsia" w:hAnsiTheme="minorEastAsia" w:eastAsiaTheme="minorEastAsia"/>
                <w:sz w:val="18"/>
                <w:szCs w:val="22"/>
              </w:rPr>
            </w:pPr>
          </w:p>
        </w:tc>
        <w:tc>
          <w:tcPr>
            <w:tcW w:w="1100" w:type="pct"/>
            <w:vAlign w:val="center"/>
          </w:tcPr>
          <w:p w14:paraId="5CAB401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r>
      <w:tr w14:paraId="07ED3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76" w:type="pct"/>
            <w:vAlign w:val="center"/>
          </w:tcPr>
          <w:p w14:paraId="2A5D600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976" w:type="pct"/>
            <w:vAlign w:val="center"/>
          </w:tcPr>
          <w:p w14:paraId="2F4370E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846" w:type="pct"/>
            <w:vAlign w:val="center"/>
          </w:tcPr>
          <w:p w14:paraId="1D45D6E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02" w:type="pct"/>
            <w:vAlign w:val="center"/>
          </w:tcPr>
          <w:p w14:paraId="2E221FA0">
            <w:pPr>
              <w:spacing w:after="160" w:line="278" w:lineRule="auto"/>
              <w:jc w:val="center"/>
              <w:rPr>
                <w:rFonts w:cs="Times New Roman" w:asciiTheme="minorEastAsia" w:hAnsiTheme="minorEastAsia" w:eastAsiaTheme="minorEastAsia"/>
                <w:sz w:val="18"/>
                <w:szCs w:val="22"/>
              </w:rPr>
            </w:pPr>
          </w:p>
        </w:tc>
        <w:tc>
          <w:tcPr>
            <w:tcW w:w="1100" w:type="pct"/>
            <w:vAlign w:val="center"/>
          </w:tcPr>
          <w:p w14:paraId="202856D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3D0540A7">
      <w:pPr>
        <w:spacing w:after="160" w:line="278" w:lineRule="auto"/>
        <w:rPr>
          <w:rFonts w:ascii="黑体" w:hAnsi="黑体" w:eastAsia="黑体" w:cs="Times New Roman"/>
          <w:szCs w:val="22"/>
        </w:rPr>
      </w:pPr>
    </w:p>
    <w:p w14:paraId="03FE7D70">
      <w:pPr>
        <w:spacing w:after="160" w:line="278" w:lineRule="auto"/>
        <w:jc w:val="center"/>
        <w:rPr>
          <w:rFonts w:ascii="黑体" w:hAnsi="黑体" w:eastAsia="黑体" w:cs="Times New Roman"/>
          <w:szCs w:val="22"/>
        </w:rPr>
      </w:pPr>
      <w:r>
        <w:rPr>
          <w:rFonts w:hint="eastAsia" w:ascii="黑体" w:hAnsi="黑体" w:eastAsia="黑体" w:cs="Times New Roman"/>
          <w:szCs w:val="22"/>
        </w:rPr>
        <w:t>表B.0.4 城区维度体检问题清单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694"/>
        <w:gridCol w:w="1597"/>
        <w:gridCol w:w="992"/>
        <w:gridCol w:w="672"/>
        <w:gridCol w:w="1910"/>
        <w:gridCol w:w="1288"/>
      </w:tblGrid>
      <w:tr w14:paraId="1F907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1" w:hRule="atLeast"/>
        </w:trPr>
        <w:tc>
          <w:tcPr>
            <w:tcW w:w="689" w:type="pct"/>
            <w:vAlign w:val="center"/>
          </w:tcPr>
          <w:p w14:paraId="5AE6C9E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问题清单项</w:t>
            </w:r>
          </w:p>
        </w:tc>
        <w:tc>
          <w:tcPr>
            <w:tcW w:w="418" w:type="pct"/>
            <w:vAlign w:val="center"/>
          </w:tcPr>
          <w:p w14:paraId="6E0B18F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962" w:type="pct"/>
            <w:vAlign w:val="center"/>
          </w:tcPr>
          <w:p w14:paraId="2A8479F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涉及指标（单位）</w:t>
            </w:r>
          </w:p>
        </w:tc>
        <w:tc>
          <w:tcPr>
            <w:tcW w:w="598" w:type="pct"/>
            <w:vAlign w:val="center"/>
          </w:tcPr>
          <w:p w14:paraId="7042990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指标值</w:t>
            </w:r>
          </w:p>
        </w:tc>
        <w:tc>
          <w:tcPr>
            <w:tcW w:w="405" w:type="pct"/>
            <w:vAlign w:val="center"/>
          </w:tcPr>
          <w:p w14:paraId="2E71922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阈值</w:t>
            </w:r>
          </w:p>
        </w:tc>
        <w:tc>
          <w:tcPr>
            <w:tcW w:w="1151" w:type="pct"/>
            <w:vAlign w:val="center"/>
          </w:tcPr>
          <w:p w14:paraId="3BC412C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居民问卷指标及评价结果</w:t>
            </w:r>
          </w:p>
        </w:tc>
        <w:tc>
          <w:tcPr>
            <w:tcW w:w="776" w:type="pct"/>
            <w:vAlign w:val="center"/>
          </w:tcPr>
          <w:p w14:paraId="27CBB27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问题分析</w:t>
            </w:r>
          </w:p>
        </w:tc>
      </w:tr>
      <w:tr w14:paraId="69F4B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vMerge w:val="restart"/>
            <w:vAlign w:val="center"/>
          </w:tcPr>
          <w:p w14:paraId="42D1530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418" w:type="pct"/>
            <w:vAlign w:val="center"/>
          </w:tcPr>
          <w:p w14:paraId="054E7D4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1</w:t>
            </w:r>
          </w:p>
        </w:tc>
        <w:tc>
          <w:tcPr>
            <w:tcW w:w="962" w:type="pct"/>
            <w:vAlign w:val="center"/>
          </w:tcPr>
          <w:p w14:paraId="64D9FD5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98" w:type="pct"/>
            <w:vAlign w:val="center"/>
          </w:tcPr>
          <w:p w14:paraId="0730CFB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405" w:type="pct"/>
            <w:vAlign w:val="center"/>
          </w:tcPr>
          <w:p w14:paraId="737E65D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1151" w:type="pct"/>
            <w:vAlign w:val="center"/>
          </w:tcPr>
          <w:p w14:paraId="195344D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776" w:type="pct"/>
            <w:vAlign w:val="center"/>
          </w:tcPr>
          <w:p w14:paraId="763E323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r>
      <w:tr w14:paraId="1F11F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vMerge w:val="continue"/>
            <w:vAlign w:val="center"/>
          </w:tcPr>
          <w:p w14:paraId="381300BF">
            <w:pPr>
              <w:spacing w:after="160" w:line="278" w:lineRule="auto"/>
              <w:jc w:val="center"/>
              <w:rPr>
                <w:rFonts w:cs="Times New Roman" w:asciiTheme="minorEastAsia" w:hAnsiTheme="minorEastAsia" w:eastAsiaTheme="minorEastAsia"/>
                <w:sz w:val="18"/>
                <w:szCs w:val="22"/>
              </w:rPr>
            </w:pPr>
          </w:p>
        </w:tc>
        <w:tc>
          <w:tcPr>
            <w:tcW w:w="418" w:type="pct"/>
            <w:vAlign w:val="center"/>
          </w:tcPr>
          <w:p w14:paraId="65C51868">
            <w:pPr>
              <w:spacing w:after="160" w:line="278" w:lineRule="auto"/>
              <w:jc w:val="center"/>
              <w:rPr>
                <w:rFonts w:cs="Times New Roman" w:asciiTheme="minorEastAsia" w:hAnsiTheme="minorEastAsia" w:eastAsiaTheme="minorEastAsia"/>
                <w:sz w:val="18"/>
                <w:szCs w:val="22"/>
              </w:rPr>
            </w:pPr>
            <w:r>
              <w:rPr>
                <w:rFonts w:cs="Times New Roman" w:asciiTheme="minorEastAsia" w:hAnsiTheme="minorEastAsia" w:eastAsiaTheme="minorEastAsia"/>
                <w:sz w:val="18"/>
                <w:szCs w:val="22"/>
              </w:rPr>
              <w:t>2</w:t>
            </w:r>
          </w:p>
        </w:tc>
        <w:tc>
          <w:tcPr>
            <w:tcW w:w="962" w:type="pct"/>
            <w:vAlign w:val="center"/>
          </w:tcPr>
          <w:p w14:paraId="4E656D5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98" w:type="pct"/>
            <w:vAlign w:val="center"/>
          </w:tcPr>
          <w:p w14:paraId="7BB68A2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405" w:type="pct"/>
            <w:vAlign w:val="center"/>
          </w:tcPr>
          <w:p w14:paraId="0D1355C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1151" w:type="pct"/>
            <w:vAlign w:val="center"/>
          </w:tcPr>
          <w:p w14:paraId="286D274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776" w:type="pct"/>
            <w:vAlign w:val="center"/>
          </w:tcPr>
          <w:p w14:paraId="7703793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r>
      <w:tr w14:paraId="51377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9" w:type="pct"/>
            <w:vAlign w:val="center"/>
          </w:tcPr>
          <w:p w14:paraId="0A3D616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418" w:type="pct"/>
            <w:vAlign w:val="center"/>
          </w:tcPr>
          <w:p w14:paraId="3C86950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962" w:type="pct"/>
            <w:vAlign w:val="center"/>
          </w:tcPr>
          <w:p w14:paraId="57B5205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98" w:type="pct"/>
            <w:vAlign w:val="center"/>
          </w:tcPr>
          <w:p w14:paraId="79D89D0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405" w:type="pct"/>
            <w:vAlign w:val="center"/>
          </w:tcPr>
          <w:p w14:paraId="687EC56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1151" w:type="pct"/>
            <w:vAlign w:val="center"/>
          </w:tcPr>
          <w:p w14:paraId="0A0E11B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76" w:type="pct"/>
            <w:vAlign w:val="center"/>
          </w:tcPr>
          <w:p w14:paraId="0945C85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15D57B77">
      <w:pPr>
        <w:widowControl/>
        <w:jc w:val="left"/>
        <w:rPr>
          <w:rFonts w:ascii="等线" w:hAnsi="等线" w:eastAsia="等线" w:cs="Times New Roman"/>
          <w:szCs w:val="22"/>
        </w:rPr>
      </w:pPr>
    </w:p>
    <w:p w14:paraId="3CAF258C">
      <w:pPr>
        <w:widowControl/>
        <w:spacing w:after="156" w:afterLines="50" w:line="278" w:lineRule="auto"/>
        <w:jc w:val="center"/>
        <w:outlineLvl w:val="0"/>
        <w:rPr>
          <w:rFonts w:ascii="宋体" w:hAnsi="宋体" w:cs="Times New Roman"/>
          <w:b/>
          <w:bCs/>
          <w:kern w:val="0"/>
        </w:rPr>
      </w:pPr>
      <w:bookmarkStart w:id="54" w:name="_Toc221291515"/>
      <w:bookmarkStart w:id="55" w:name="_Toc211952382"/>
      <w:r>
        <w:rPr>
          <w:rFonts w:hint="eastAsia" w:ascii="宋体" w:hAnsi="宋体" w:cs="Times New Roman"/>
          <w:b/>
          <w:bCs/>
          <w:kern w:val="0"/>
        </w:rPr>
        <w:t>附录C 各维度整治建议清单</w:t>
      </w:r>
      <w:bookmarkEnd w:id="54"/>
      <w:bookmarkEnd w:id="55"/>
    </w:p>
    <w:p w14:paraId="30001892">
      <w:pPr>
        <w:spacing w:after="160" w:line="278" w:lineRule="auto"/>
        <w:jc w:val="center"/>
        <w:rPr>
          <w:rFonts w:ascii="黑体" w:hAnsi="黑体" w:eastAsia="黑体" w:cs="Times New Roman"/>
          <w:szCs w:val="22"/>
        </w:rPr>
      </w:pPr>
      <w:r>
        <w:rPr>
          <w:rFonts w:hint="eastAsia" w:ascii="黑体" w:hAnsi="黑体" w:eastAsia="黑体" w:cs="Times New Roman"/>
          <w:szCs w:val="22"/>
        </w:rPr>
        <w:t>表C.0.1 住房维度体检整治建议清单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974"/>
        <w:gridCol w:w="846"/>
        <w:gridCol w:w="1102"/>
        <w:gridCol w:w="1102"/>
        <w:gridCol w:w="1100"/>
        <w:gridCol w:w="1100"/>
        <w:gridCol w:w="1100"/>
      </w:tblGrid>
      <w:tr w14:paraId="2FAD0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2023326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587" w:type="pct"/>
            <w:vAlign w:val="center"/>
          </w:tcPr>
          <w:p w14:paraId="3D12CEC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问题涉及的指标项（单位）</w:t>
            </w:r>
          </w:p>
        </w:tc>
        <w:tc>
          <w:tcPr>
            <w:tcW w:w="510" w:type="pct"/>
            <w:vAlign w:val="center"/>
          </w:tcPr>
          <w:p w14:paraId="4B40458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指标结果</w:t>
            </w:r>
          </w:p>
        </w:tc>
        <w:tc>
          <w:tcPr>
            <w:tcW w:w="664" w:type="pct"/>
            <w:vAlign w:val="center"/>
          </w:tcPr>
          <w:p w14:paraId="2D78BB5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存在问题</w:t>
            </w:r>
          </w:p>
        </w:tc>
        <w:tc>
          <w:tcPr>
            <w:tcW w:w="664" w:type="pct"/>
            <w:vAlign w:val="center"/>
          </w:tcPr>
          <w:p w14:paraId="1FD30BB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整治建议</w:t>
            </w:r>
          </w:p>
        </w:tc>
        <w:tc>
          <w:tcPr>
            <w:tcW w:w="663" w:type="pct"/>
            <w:vAlign w:val="center"/>
          </w:tcPr>
          <w:p w14:paraId="7CF7192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整治区域</w:t>
            </w:r>
          </w:p>
        </w:tc>
        <w:tc>
          <w:tcPr>
            <w:tcW w:w="663" w:type="pct"/>
            <w:vAlign w:val="center"/>
          </w:tcPr>
          <w:p w14:paraId="7C30C1D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整治类型</w:t>
            </w:r>
          </w:p>
        </w:tc>
        <w:tc>
          <w:tcPr>
            <w:tcW w:w="663" w:type="pct"/>
            <w:vAlign w:val="center"/>
          </w:tcPr>
          <w:p w14:paraId="22B2763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责任单位</w:t>
            </w:r>
          </w:p>
        </w:tc>
      </w:tr>
      <w:tr w14:paraId="1A6F2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04A44D4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1</w:t>
            </w:r>
          </w:p>
        </w:tc>
        <w:tc>
          <w:tcPr>
            <w:tcW w:w="587" w:type="pct"/>
            <w:vAlign w:val="center"/>
          </w:tcPr>
          <w:p w14:paraId="2B2542A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10" w:type="pct"/>
            <w:vAlign w:val="center"/>
          </w:tcPr>
          <w:p w14:paraId="7A210D1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4" w:type="pct"/>
            <w:vAlign w:val="center"/>
          </w:tcPr>
          <w:p w14:paraId="73A904C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4" w:type="pct"/>
            <w:vAlign w:val="center"/>
          </w:tcPr>
          <w:p w14:paraId="1B190C6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3" w:type="pct"/>
            <w:vAlign w:val="center"/>
          </w:tcPr>
          <w:p w14:paraId="0F716ED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XX楼栋</w:t>
            </w:r>
          </w:p>
        </w:tc>
        <w:tc>
          <w:tcPr>
            <w:tcW w:w="663" w:type="pct"/>
            <w:vAlign w:val="center"/>
          </w:tcPr>
          <w:p w14:paraId="04DE8AA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限时解决/持续推进</w:t>
            </w:r>
          </w:p>
        </w:tc>
        <w:tc>
          <w:tcPr>
            <w:tcW w:w="663" w:type="pct"/>
            <w:vAlign w:val="center"/>
          </w:tcPr>
          <w:p w14:paraId="14D2959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XX部门/XX区政府/XX街道</w:t>
            </w:r>
          </w:p>
        </w:tc>
      </w:tr>
      <w:tr w14:paraId="22322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7E1602E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87" w:type="pct"/>
            <w:vAlign w:val="center"/>
          </w:tcPr>
          <w:p w14:paraId="0F5A149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10" w:type="pct"/>
            <w:vAlign w:val="center"/>
          </w:tcPr>
          <w:p w14:paraId="6FE1ECF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4" w:type="pct"/>
            <w:vAlign w:val="center"/>
          </w:tcPr>
          <w:p w14:paraId="4C3AA41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4" w:type="pct"/>
            <w:vAlign w:val="center"/>
          </w:tcPr>
          <w:p w14:paraId="7803EFB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31B6EAF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6D6A42E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4A0C744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07AB1844">
      <w:pPr>
        <w:spacing w:after="160" w:line="278" w:lineRule="auto"/>
        <w:rPr>
          <w:rFonts w:ascii="黑体" w:hAnsi="黑体" w:eastAsia="黑体" w:cs="Times New Roman"/>
          <w:szCs w:val="22"/>
        </w:rPr>
      </w:pPr>
    </w:p>
    <w:p w14:paraId="72DF07C8">
      <w:pPr>
        <w:spacing w:after="160" w:line="278" w:lineRule="auto"/>
        <w:jc w:val="center"/>
        <w:rPr>
          <w:rFonts w:ascii="黑体" w:hAnsi="黑体" w:eastAsia="黑体" w:cs="Times New Roman"/>
          <w:szCs w:val="22"/>
        </w:rPr>
      </w:pPr>
      <w:r>
        <w:rPr>
          <w:rFonts w:hint="eastAsia" w:ascii="黑体" w:hAnsi="黑体" w:eastAsia="黑体" w:cs="Times New Roman"/>
          <w:szCs w:val="22"/>
        </w:rPr>
        <w:t>表C.0.2 小区（社区）维度体检整治建议清单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974"/>
        <w:gridCol w:w="846"/>
        <w:gridCol w:w="1102"/>
        <w:gridCol w:w="1102"/>
        <w:gridCol w:w="1100"/>
        <w:gridCol w:w="1100"/>
        <w:gridCol w:w="1100"/>
      </w:tblGrid>
      <w:tr w14:paraId="797B5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4B7A2E4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587" w:type="pct"/>
            <w:vAlign w:val="center"/>
          </w:tcPr>
          <w:p w14:paraId="562E715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问题涉及的指标项（单位）</w:t>
            </w:r>
          </w:p>
        </w:tc>
        <w:tc>
          <w:tcPr>
            <w:tcW w:w="510" w:type="pct"/>
            <w:vAlign w:val="center"/>
          </w:tcPr>
          <w:p w14:paraId="0EDA793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指标结果</w:t>
            </w:r>
          </w:p>
        </w:tc>
        <w:tc>
          <w:tcPr>
            <w:tcW w:w="664" w:type="pct"/>
            <w:vAlign w:val="center"/>
          </w:tcPr>
          <w:p w14:paraId="5801DAA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存在问题</w:t>
            </w:r>
          </w:p>
        </w:tc>
        <w:tc>
          <w:tcPr>
            <w:tcW w:w="664" w:type="pct"/>
            <w:vAlign w:val="center"/>
          </w:tcPr>
          <w:p w14:paraId="429EDD6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整治建议</w:t>
            </w:r>
          </w:p>
        </w:tc>
        <w:tc>
          <w:tcPr>
            <w:tcW w:w="663" w:type="pct"/>
            <w:vAlign w:val="center"/>
          </w:tcPr>
          <w:p w14:paraId="1F06532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整治区域</w:t>
            </w:r>
          </w:p>
        </w:tc>
        <w:tc>
          <w:tcPr>
            <w:tcW w:w="663" w:type="pct"/>
            <w:vAlign w:val="center"/>
          </w:tcPr>
          <w:p w14:paraId="1061C42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整治类型</w:t>
            </w:r>
          </w:p>
        </w:tc>
        <w:tc>
          <w:tcPr>
            <w:tcW w:w="663" w:type="pct"/>
            <w:vAlign w:val="center"/>
          </w:tcPr>
          <w:p w14:paraId="19DBC2F1">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责任单位</w:t>
            </w:r>
          </w:p>
        </w:tc>
      </w:tr>
      <w:tr w14:paraId="20010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1F35F31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1</w:t>
            </w:r>
          </w:p>
        </w:tc>
        <w:tc>
          <w:tcPr>
            <w:tcW w:w="587" w:type="pct"/>
            <w:vAlign w:val="center"/>
          </w:tcPr>
          <w:p w14:paraId="3AA7869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10" w:type="pct"/>
            <w:vAlign w:val="center"/>
          </w:tcPr>
          <w:p w14:paraId="4256D04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4" w:type="pct"/>
            <w:vAlign w:val="center"/>
          </w:tcPr>
          <w:p w14:paraId="4077152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4" w:type="pct"/>
            <w:vAlign w:val="center"/>
          </w:tcPr>
          <w:p w14:paraId="7E40E69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3" w:type="pct"/>
            <w:vAlign w:val="center"/>
          </w:tcPr>
          <w:p w14:paraId="2EA5202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XX小区或XX点位</w:t>
            </w:r>
          </w:p>
        </w:tc>
        <w:tc>
          <w:tcPr>
            <w:tcW w:w="663" w:type="pct"/>
            <w:vAlign w:val="center"/>
          </w:tcPr>
          <w:p w14:paraId="2ECB706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限时解决/持续推进</w:t>
            </w:r>
          </w:p>
        </w:tc>
        <w:tc>
          <w:tcPr>
            <w:tcW w:w="663" w:type="pct"/>
            <w:vAlign w:val="center"/>
          </w:tcPr>
          <w:p w14:paraId="4BF2B32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XX部门/XX区政府/XX街道</w:t>
            </w:r>
          </w:p>
        </w:tc>
      </w:tr>
      <w:tr w14:paraId="47F2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56918E4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87" w:type="pct"/>
            <w:vAlign w:val="center"/>
          </w:tcPr>
          <w:p w14:paraId="3F32B8B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10" w:type="pct"/>
            <w:vAlign w:val="center"/>
          </w:tcPr>
          <w:p w14:paraId="13DE8A9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4" w:type="pct"/>
            <w:vAlign w:val="center"/>
          </w:tcPr>
          <w:p w14:paraId="245B4D6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4" w:type="pct"/>
            <w:vAlign w:val="center"/>
          </w:tcPr>
          <w:p w14:paraId="2B5B6DA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2062F10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44C0CCA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5B4B140F">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34C5C457">
      <w:pPr>
        <w:spacing w:after="160" w:line="278" w:lineRule="auto"/>
        <w:rPr>
          <w:rFonts w:ascii="黑体" w:hAnsi="黑体" w:eastAsia="黑体" w:cs="Times New Roman"/>
          <w:szCs w:val="22"/>
        </w:rPr>
      </w:pPr>
    </w:p>
    <w:p w14:paraId="29BAD265">
      <w:pPr>
        <w:spacing w:after="160" w:line="278" w:lineRule="auto"/>
        <w:jc w:val="center"/>
        <w:rPr>
          <w:rFonts w:ascii="黑体" w:hAnsi="黑体" w:eastAsia="黑体" w:cs="Times New Roman"/>
          <w:szCs w:val="22"/>
        </w:rPr>
      </w:pPr>
      <w:r>
        <w:rPr>
          <w:rFonts w:hint="eastAsia" w:ascii="黑体" w:hAnsi="黑体" w:eastAsia="黑体" w:cs="Times New Roman"/>
          <w:szCs w:val="22"/>
        </w:rPr>
        <w:t>表C.0.3 街区维度体检整治建议清单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974"/>
        <w:gridCol w:w="846"/>
        <w:gridCol w:w="1102"/>
        <w:gridCol w:w="1102"/>
        <w:gridCol w:w="1100"/>
        <w:gridCol w:w="1100"/>
        <w:gridCol w:w="1100"/>
      </w:tblGrid>
      <w:tr w14:paraId="06194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209E973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序号</w:t>
            </w:r>
          </w:p>
        </w:tc>
        <w:tc>
          <w:tcPr>
            <w:tcW w:w="587" w:type="pct"/>
            <w:vAlign w:val="center"/>
          </w:tcPr>
          <w:p w14:paraId="35CEAFE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问题涉及的指标项（单位）</w:t>
            </w:r>
          </w:p>
        </w:tc>
        <w:tc>
          <w:tcPr>
            <w:tcW w:w="510" w:type="pct"/>
            <w:vAlign w:val="center"/>
          </w:tcPr>
          <w:p w14:paraId="48863C6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指标结果</w:t>
            </w:r>
          </w:p>
        </w:tc>
        <w:tc>
          <w:tcPr>
            <w:tcW w:w="664" w:type="pct"/>
            <w:vAlign w:val="center"/>
          </w:tcPr>
          <w:p w14:paraId="41DF5AC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存在问题</w:t>
            </w:r>
          </w:p>
        </w:tc>
        <w:tc>
          <w:tcPr>
            <w:tcW w:w="664" w:type="pct"/>
            <w:vAlign w:val="center"/>
          </w:tcPr>
          <w:p w14:paraId="4EA4662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整治建议</w:t>
            </w:r>
          </w:p>
        </w:tc>
        <w:tc>
          <w:tcPr>
            <w:tcW w:w="663" w:type="pct"/>
            <w:vAlign w:val="center"/>
          </w:tcPr>
          <w:p w14:paraId="79AF371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整治区域</w:t>
            </w:r>
          </w:p>
        </w:tc>
        <w:tc>
          <w:tcPr>
            <w:tcW w:w="663" w:type="pct"/>
            <w:vAlign w:val="center"/>
          </w:tcPr>
          <w:p w14:paraId="5F7C762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整治类型</w:t>
            </w:r>
          </w:p>
        </w:tc>
        <w:tc>
          <w:tcPr>
            <w:tcW w:w="663" w:type="pct"/>
            <w:vAlign w:val="center"/>
          </w:tcPr>
          <w:p w14:paraId="50A0D10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责任单位</w:t>
            </w:r>
          </w:p>
        </w:tc>
      </w:tr>
      <w:tr w14:paraId="27BCD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61EE475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1</w:t>
            </w:r>
          </w:p>
        </w:tc>
        <w:tc>
          <w:tcPr>
            <w:tcW w:w="587" w:type="pct"/>
            <w:vAlign w:val="center"/>
          </w:tcPr>
          <w:p w14:paraId="386FD9E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10" w:type="pct"/>
            <w:vAlign w:val="center"/>
          </w:tcPr>
          <w:p w14:paraId="5AA906D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4" w:type="pct"/>
            <w:vAlign w:val="center"/>
          </w:tcPr>
          <w:p w14:paraId="517568D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4" w:type="pct"/>
            <w:vAlign w:val="center"/>
          </w:tcPr>
          <w:p w14:paraId="12B548A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663" w:type="pct"/>
            <w:vAlign w:val="center"/>
          </w:tcPr>
          <w:p w14:paraId="1B2E6C7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XX社区或XX点位</w:t>
            </w:r>
          </w:p>
        </w:tc>
        <w:tc>
          <w:tcPr>
            <w:tcW w:w="663" w:type="pct"/>
            <w:vAlign w:val="center"/>
          </w:tcPr>
          <w:p w14:paraId="5C6CD3C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限时解决/持续推进</w:t>
            </w:r>
          </w:p>
        </w:tc>
        <w:tc>
          <w:tcPr>
            <w:tcW w:w="663" w:type="pct"/>
            <w:vAlign w:val="center"/>
          </w:tcPr>
          <w:p w14:paraId="1A59516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XX部门/XX区政府/XX街道</w:t>
            </w:r>
          </w:p>
        </w:tc>
      </w:tr>
      <w:tr w14:paraId="61B4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86" w:type="pct"/>
            <w:vAlign w:val="center"/>
          </w:tcPr>
          <w:p w14:paraId="6369F78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87" w:type="pct"/>
            <w:vAlign w:val="center"/>
          </w:tcPr>
          <w:p w14:paraId="527120F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10" w:type="pct"/>
            <w:vAlign w:val="center"/>
          </w:tcPr>
          <w:p w14:paraId="6BEEE2D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4" w:type="pct"/>
            <w:vAlign w:val="center"/>
          </w:tcPr>
          <w:p w14:paraId="7A10DF4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4" w:type="pct"/>
            <w:vAlign w:val="center"/>
          </w:tcPr>
          <w:p w14:paraId="575099B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4C0E548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67B1889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63" w:type="pct"/>
            <w:vAlign w:val="center"/>
          </w:tcPr>
          <w:p w14:paraId="26188B5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41F97873">
      <w:pPr>
        <w:spacing w:after="160" w:line="278" w:lineRule="auto"/>
        <w:rPr>
          <w:rFonts w:ascii="黑体" w:hAnsi="黑体" w:eastAsia="黑体" w:cs="Times New Roman"/>
          <w:szCs w:val="22"/>
        </w:rPr>
      </w:pPr>
    </w:p>
    <w:p w14:paraId="78C0EE19">
      <w:pPr>
        <w:widowControl/>
        <w:jc w:val="left"/>
        <w:rPr>
          <w:rFonts w:ascii="黑体" w:hAnsi="黑体" w:eastAsia="黑体" w:cs="Times New Roman"/>
          <w:szCs w:val="22"/>
        </w:rPr>
      </w:pPr>
      <w:r>
        <w:rPr>
          <w:rFonts w:ascii="黑体" w:hAnsi="黑体" w:eastAsia="黑体" w:cs="Times New Roman"/>
          <w:szCs w:val="22"/>
        </w:rPr>
        <w:br w:type="page"/>
      </w:r>
    </w:p>
    <w:p w14:paraId="0577E92C">
      <w:pPr>
        <w:spacing w:after="160" w:line="278" w:lineRule="auto"/>
        <w:rPr>
          <w:rFonts w:ascii="黑体" w:hAnsi="黑体" w:eastAsia="黑体" w:cs="Times New Roman"/>
          <w:szCs w:val="22"/>
        </w:rPr>
      </w:pPr>
    </w:p>
    <w:p w14:paraId="118636B4">
      <w:pPr>
        <w:spacing w:after="160" w:line="278" w:lineRule="auto"/>
        <w:jc w:val="center"/>
        <w:rPr>
          <w:rFonts w:ascii="黑体" w:hAnsi="黑体" w:eastAsia="黑体" w:cs="Times New Roman"/>
          <w:szCs w:val="22"/>
        </w:rPr>
      </w:pPr>
      <w:r>
        <w:rPr>
          <w:rFonts w:hint="eastAsia" w:ascii="黑体" w:hAnsi="黑体" w:eastAsia="黑体" w:cs="Times New Roman"/>
          <w:szCs w:val="22"/>
        </w:rPr>
        <w:t>表C.0.4 城区维度体检整治建议清单</w:t>
      </w:r>
    </w:p>
    <w:tbl>
      <w:tblPr>
        <w:tblStyle w:val="2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2"/>
        <w:gridCol w:w="1123"/>
        <w:gridCol w:w="976"/>
        <w:gridCol w:w="1271"/>
        <w:gridCol w:w="1269"/>
        <w:gridCol w:w="1269"/>
        <w:gridCol w:w="1266"/>
      </w:tblGrid>
      <w:tr w14:paraId="67AD4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vAlign w:val="center"/>
          </w:tcPr>
          <w:p w14:paraId="63D62BC2">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问题领域</w:t>
            </w:r>
          </w:p>
        </w:tc>
        <w:tc>
          <w:tcPr>
            <w:tcW w:w="677" w:type="pct"/>
            <w:vAlign w:val="center"/>
          </w:tcPr>
          <w:p w14:paraId="1E97BB76">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指标名称（单位）/居民问卷选项</w:t>
            </w:r>
          </w:p>
        </w:tc>
        <w:tc>
          <w:tcPr>
            <w:tcW w:w="588" w:type="pct"/>
            <w:vAlign w:val="center"/>
          </w:tcPr>
          <w:p w14:paraId="486DBAF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指标值/居民问卷得分</w:t>
            </w:r>
          </w:p>
        </w:tc>
        <w:tc>
          <w:tcPr>
            <w:tcW w:w="766" w:type="pct"/>
            <w:vAlign w:val="center"/>
          </w:tcPr>
          <w:p w14:paraId="5AA915CC">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整治建议</w:t>
            </w:r>
          </w:p>
        </w:tc>
        <w:tc>
          <w:tcPr>
            <w:tcW w:w="765" w:type="pct"/>
            <w:vAlign w:val="center"/>
          </w:tcPr>
          <w:p w14:paraId="47AF8D6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整治区域</w:t>
            </w:r>
          </w:p>
        </w:tc>
        <w:tc>
          <w:tcPr>
            <w:tcW w:w="765" w:type="pct"/>
            <w:vAlign w:val="center"/>
          </w:tcPr>
          <w:p w14:paraId="3A66FE35">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整治类型</w:t>
            </w:r>
          </w:p>
        </w:tc>
        <w:tc>
          <w:tcPr>
            <w:tcW w:w="763" w:type="pct"/>
            <w:vAlign w:val="center"/>
          </w:tcPr>
          <w:p w14:paraId="6581C329">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责任单位</w:t>
            </w:r>
          </w:p>
        </w:tc>
      </w:tr>
      <w:tr w14:paraId="404B5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vAlign w:val="center"/>
          </w:tcPr>
          <w:p w14:paraId="468E4AC4">
            <w:pPr>
              <w:spacing w:after="160" w:line="278" w:lineRule="auto"/>
              <w:jc w:val="center"/>
              <w:rPr>
                <w:rFonts w:cs="Times New Roman" w:asciiTheme="minorEastAsia" w:hAnsiTheme="minorEastAsia" w:eastAsiaTheme="minorEastAsia"/>
                <w:sz w:val="18"/>
                <w:szCs w:val="22"/>
              </w:rPr>
            </w:pPr>
            <w:r>
              <w:rPr>
                <w:rFonts w:cs="Times New Roman" w:asciiTheme="minorEastAsia" w:hAnsiTheme="minorEastAsia" w:eastAsiaTheme="minorEastAsia"/>
                <w:sz w:val="18"/>
                <w:szCs w:val="22"/>
              </w:rPr>
              <w:t>XX</w:t>
            </w:r>
          </w:p>
        </w:tc>
        <w:tc>
          <w:tcPr>
            <w:tcW w:w="677" w:type="pct"/>
            <w:vAlign w:val="center"/>
          </w:tcPr>
          <w:p w14:paraId="7124968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588" w:type="pct"/>
            <w:vAlign w:val="center"/>
          </w:tcPr>
          <w:p w14:paraId="09692937">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766" w:type="pct"/>
            <w:vAlign w:val="center"/>
          </w:tcPr>
          <w:p w14:paraId="113556A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w:t>
            </w:r>
          </w:p>
        </w:tc>
        <w:tc>
          <w:tcPr>
            <w:tcW w:w="765" w:type="pct"/>
            <w:vAlign w:val="center"/>
          </w:tcPr>
          <w:p w14:paraId="7C819C8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XX区或XX点位</w:t>
            </w:r>
          </w:p>
        </w:tc>
        <w:tc>
          <w:tcPr>
            <w:tcW w:w="765" w:type="pct"/>
            <w:vAlign w:val="center"/>
          </w:tcPr>
          <w:p w14:paraId="500B922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限时解决/持续推进</w:t>
            </w:r>
          </w:p>
        </w:tc>
        <w:tc>
          <w:tcPr>
            <w:tcW w:w="763" w:type="pct"/>
            <w:vAlign w:val="center"/>
          </w:tcPr>
          <w:p w14:paraId="13C0B7EA">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XX部门/XX区政府</w:t>
            </w:r>
          </w:p>
        </w:tc>
      </w:tr>
      <w:tr w14:paraId="474F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pct"/>
            <w:vAlign w:val="center"/>
          </w:tcPr>
          <w:p w14:paraId="16B3E544">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677" w:type="pct"/>
            <w:vAlign w:val="center"/>
          </w:tcPr>
          <w:p w14:paraId="1C535030">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588" w:type="pct"/>
            <w:vAlign w:val="center"/>
          </w:tcPr>
          <w:p w14:paraId="09157F73">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6" w:type="pct"/>
            <w:vAlign w:val="center"/>
          </w:tcPr>
          <w:p w14:paraId="255676ED">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5" w:type="pct"/>
            <w:vAlign w:val="center"/>
          </w:tcPr>
          <w:p w14:paraId="2594F168">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5" w:type="pct"/>
            <w:vAlign w:val="center"/>
          </w:tcPr>
          <w:p w14:paraId="285567CE">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c>
          <w:tcPr>
            <w:tcW w:w="763" w:type="pct"/>
            <w:vAlign w:val="center"/>
          </w:tcPr>
          <w:p w14:paraId="3146D1EB">
            <w:pPr>
              <w:spacing w:after="160" w:line="278" w:lineRule="auto"/>
              <w:jc w:val="center"/>
              <w:rPr>
                <w:rFonts w:cs="Times New Roman" w:asciiTheme="minorEastAsia" w:hAnsiTheme="minorEastAsia" w:eastAsiaTheme="minorEastAsia"/>
                <w:sz w:val="18"/>
                <w:szCs w:val="22"/>
              </w:rPr>
            </w:pPr>
            <w:r>
              <w:rPr>
                <w:rFonts w:hint="eastAsia" w:cs="Times New Roman" w:asciiTheme="minorEastAsia" w:hAnsiTheme="minorEastAsia" w:eastAsiaTheme="minorEastAsia"/>
                <w:sz w:val="18"/>
                <w:szCs w:val="22"/>
              </w:rPr>
              <w:t>……</w:t>
            </w:r>
          </w:p>
        </w:tc>
      </w:tr>
    </w:tbl>
    <w:p w14:paraId="3EF67102">
      <w:pPr>
        <w:spacing w:after="160" w:line="278" w:lineRule="auto"/>
        <w:rPr>
          <w:rFonts w:ascii="黑体" w:hAnsi="黑体" w:eastAsia="黑体" w:cs="Times New Roman"/>
          <w:szCs w:val="22"/>
        </w:rPr>
      </w:pPr>
    </w:p>
    <w:p w14:paraId="666B16E1">
      <w:pPr>
        <w:widowControl/>
        <w:jc w:val="left"/>
        <w:rPr>
          <w:rFonts w:ascii="黑体" w:hAnsi="黑体" w:eastAsia="黑体" w:cs="Times New Roman"/>
          <w:szCs w:val="22"/>
        </w:rPr>
      </w:pPr>
      <w:r>
        <w:rPr>
          <w:rFonts w:ascii="黑体" w:hAnsi="黑体" w:eastAsia="黑体" w:cs="Times New Roman"/>
          <w:szCs w:val="22"/>
        </w:rPr>
        <w:br w:type="page"/>
      </w:r>
    </w:p>
    <w:p w14:paraId="4FA72145">
      <w:pPr>
        <w:widowControl/>
        <w:spacing w:after="160" w:line="278" w:lineRule="auto"/>
        <w:jc w:val="center"/>
        <w:outlineLvl w:val="1"/>
        <w:rPr>
          <w:rFonts w:ascii="宋体" w:hAnsi="宋体" w:cs="Times New Roman"/>
          <w:b/>
          <w:bCs/>
          <w:kern w:val="0"/>
          <w:sz w:val="24"/>
          <w:szCs w:val="24"/>
        </w:rPr>
      </w:pPr>
      <w:bookmarkStart w:id="56" w:name="_Toc221291516"/>
      <w:bookmarkStart w:id="57" w:name="_Toc211952383"/>
      <w:r>
        <w:rPr>
          <w:rFonts w:hint="eastAsia" w:ascii="宋体" w:hAnsi="宋体" w:cs="Times New Roman"/>
          <w:b/>
          <w:bCs/>
          <w:kern w:val="0"/>
          <w:sz w:val="24"/>
          <w:szCs w:val="24"/>
        </w:rPr>
        <w:t>本标准用词说明</w:t>
      </w:r>
      <w:bookmarkEnd w:id="56"/>
      <w:bookmarkEnd w:id="57"/>
    </w:p>
    <w:p w14:paraId="618AEA6F">
      <w:pPr>
        <w:spacing w:after="160" w:line="278" w:lineRule="auto"/>
        <w:rPr>
          <w:rFonts w:ascii="宋体" w:hAnsi="宋体" w:cs="Times New Roman"/>
          <w:szCs w:val="22"/>
          <w:lang w:bidi="ar"/>
        </w:rPr>
      </w:pPr>
      <w:r>
        <w:rPr>
          <w:rFonts w:hint="eastAsia" w:ascii="宋体" w:hAnsi="宋体" w:cs="Times New Roman"/>
          <w:szCs w:val="22"/>
          <w:lang w:bidi="ar"/>
        </w:rPr>
        <w:t>1 为便于在执行本标准条文时区别对待，对于要求严格程度的用词说明如下：</w:t>
      </w:r>
    </w:p>
    <w:p w14:paraId="2B99D4A9">
      <w:pPr>
        <w:spacing w:after="160" w:line="278" w:lineRule="auto"/>
        <w:ind w:left="420" w:leftChars="200"/>
        <w:rPr>
          <w:rFonts w:ascii="宋体" w:hAnsi="宋体" w:cs="Times New Roman"/>
          <w:szCs w:val="22"/>
          <w:lang w:bidi="ar"/>
        </w:rPr>
      </w:pPr>
      <w:r>
        <w:rPr>
          <w:rFonts w:hint="eastAsia" w:ascii="宋体" w:hAnsi="宋体" w:cs="Times New Roman"/>
          <w:szCs w:val="22"/>
          <w:lang w:bidi="ar"/>
        </w:rPr>
        <w:t>1）表示严格，在正常情况下均应这样做的用词：</w:t>
      </w:r>
    </w:p>
    <w:p w14:paraId="664CDF54">
      <w:pPr>
        <w:spacing w:after="160" w:line="278" w:lineRule="auto"/>
        <w:ind w:left="420" w:leftChars="200" w:firstLine="315" w:firstLineChars="150"/>
        <w:rPr>
          <w:rFonts w:ascii="宋体" w:hAnsi="宋体" w:cs="Times New Roman"/>
          <w:szCs w:val="22"/>
          <w:lang w:bidi="ar"/>
        </w:rPr>
      </w:pPr>
      <w:r>
        <w:rPr>
          <w:rFonts w:hint="eastAsia" w:ascii="宋体" w:hAnsi="宋体" w:cs="Times New Roman"/>
          <w:szCs w:val="22"/>
          <w:lang w:bidi="ar"/>
        </w:rPr>
        <w:t>正面词采用“应”，反面词采用“不应”或“不得”；</w:t>
      </w:r>
    </w:p>
    <w:p w14:paraId="176AD018">
      <w:pPr>
        <w:spacing w:after="160" w:line="278" w:lineRule="auto"/>
        <w:ind w:left="420" w:leftChars="200"/>
        <w:rPr>
          <w:rFonts w:ascii="宋体" w:hAnsi="宋体" w:cs="Times New Roman"/>
          <w:szCs w:val="22"/>
          <w:lang w:bidi="ar"/>
        </w:rPr>
      </w:pPr>
      <w:r>
        <w:rPr>
          <w:rFonts w:hint="eastAsia" w:ascii="宋体" w:hAnsi="宋体" w:cs="Times New Roman"/>
          <w:szCs w:val="22"/>
          <w:lang w:bidi="ar"/>
        </w:rPr>
        <w:t>2）表示允许稍有选择，在条件许可时首先应这样做的用词：</w:t>
      </w:r>
    </w:p>
    <w:p w14:paraId="7595B2E1">
      <w:pPr>
        <w:spacing w:after="160" w:line="278" w:lineRule="auto"/>
        <w:ind w:left="420" w:leftChars="200" w:firstLine="315" w:firstLineChars="150"/>
        <w:rPr>
          <w:rFonts w:ascii="宋体" w:hAnsi="宋体" w:cs="Times New Roman"/>
          <w:szCs w:val="22"/>
          <w:lang w:bidi="ar"/>
        </w:rPr>
      </w:pPr>
      <w:r>
        <w:rPr>
          <w:rFonts w:hint="eastAsia" w:ascii="宋体" w:hAnsi="宋体" w:cs="Times New Roman"/>
          <w:szCs w:val="22"/>
          <w:lang w:bidi="ar"/>
        </w:rPr>
        <w:t>正面词采用“宜”，反面词采用“不宜”；</w:t>
      </w:r>
    </w:p>
    <w:p w14:paraId="267A6315">
      <w:pPr>
        <w:spacing w:after="160" w:line="278" w:lineRule="auto"/>
        <w:ind w:left="420" w:leftChars="200"/>
        <w:rPr>
          <w:rFonts w:ascii="宋体" w:hAnsi="宋体" w:cs="Times New Roman"/>
          <w:szCs w:val="22"/>
          <w:lang w:bidi="ar"/>
        </w:rPr>
      </w:pPr>
      <w:r>
        <w:rPr>
          <w:rFonts w:hint="eastAsia" w:ascii="宋体" w:hAnsi="宋体" w:cs="Times New Roman"/>
          <w:szCs w:val="22"/>
          <w:lang w:bidi="ar"/>
        </w:rPr>
        <w:t>3）表示有选择，在一定条件下可以这样做的用词采用“可”。</w:t>
      </w:r>
    </w:p>
    <w:p w14:paraId="5D32A444">
      <w:pPr>
        <w:spacing w:after="160" w:line="278" w:lineRule="auto"/>
        <w:rPr>
          <w:rFonts w:ascii="宋体" w:hAnsi="宋体" w:cs="Times New Roman"/>
          <w:szCs w:val="22"/>
          <w:lang w:bidi="ar"/>
        </w:rPr>
      </w:pPr>
      <w:r>
        <w:rPr>
          <w:rFonts w:hint="eastAsia" w:ascii="宋体" w:hAnsi="宋体" w:cs="Times New Roman"/>
          <w:szCs w:val="22"/>
          <w:lang w:bidi="ar"/>
        </w:rPr>
        <w:t>2 标准中指定应按其他有关标准、规范执行时，写法为：“应符合……的规定”或“应按……执行”。</w:t>
      </w:r>
    </w:p>
    <w:p w14:paraId="3D072E15">
      <w:pPr>
        <w:widowControl/>
        <w:jc w:val="left"/>
        <w:rPr>
          <w:rFonts w:ascii="仿宋_GB2312" w:hAnsi="仿宋_GB2312" w:eastAsia="仿宋_GB2312" w:cs="Times New Roman"/>
          <w:sz w:val="32"/>
          <w:szCs w:val="24"/>
          <w:lang w:bidi="ar"/>
        </w:rPr>
      </w:pPr>
      <w:r>
        <w:rPr>
          <w:rFonts w:ascii="仿宋_GB2312" w:hAnsi="仿宋_GB2312" w:eastAsia="仿宋_GB2312" w:cs="Times New Roman"/>
          <w:sz w:val="32"/>
          <w:szCs w:val="24"/>
          <w:lang w:bidi="ar"/>
        </w:rPr>
        <w:br w:type="page"/>
      </w:r>
    </w:p>
    <w:p w14:paraId="64E4902A">
      <w:pPr>
        <w:widowControl/>
        <w:spacing w:after="160" w:line="278" w:lineRule="auto"/>
        <w:jc w:val="center"/>
        <w:outlineLvl w:val="1"/>
        <w:rPr>
          <w:rFonts w:ascii="宋体" w:hAnsi="宋体" w:cs="Times New Roman"/>
          <w:b/>
          <w:bCs/>
          <w:kern w:val="0"/>
          <w:sz w:val="24"/>
          <w:szCs w:val="24"/>
        </w:rPr>
      </w:pPr>
      <w:bookmarkStart w:id="58" w:name="_Toc221291517"/>
      <w:bookmarkStart w:id="59" w:name="_Toc211952384"/>
      <w:r>
        <w:rPr>
          <w:rFonts w:hint="eastAsia" w:ascii="宋体" w:hAnsi="宋体" w:cs="Times New Roman"/>
          <w:b/>
          <w:bCs/>
          <w:kern w:val="0"/>
          <w:sz w:val="24"/>
          <w:szCs w:val="24"/>
        </w:rPr>
        <w:t>引用标准名录</w:t>
      </w:r>
      <w:bookmarkEnd w:id="58"/>
      <w:bookmarkEnd w:id="59"/>
    </w:p>
    <w:p w14:paraId="54D68289">
      <w:pPr>
        <w:spacing w:after="160" w:line="278" w:lineRule="auto"/>
        <w:rPr>
          <w:rFonts w:ascii="宋体" w:hAnsi="宋体" w:cs="Times New Roman"/>
          <w:szCs w:val="22"/>
          <w:lang w:bidi="ar"/>
        </w:rPr>
      </w:pPr>
      <w:r>
        <w:rPr>
          <w:rFonts w:ascii="Times New Roman" w:hAnsi="Times New Roman" w:cs="Times New Roman"/>
          <w:b/>
          <w:kern w:val="0"/>
          <w:lang w:bidi="ar"/>
        </w:rPr>
        <w:t>1</w:t>
      </w:r>
      <w:r>
        <w:rPr>
          <w:rFonts w:ascii="宋体" w:hAnsi="宋体" w:cs="Times New Roman"/>
          <w:szCs w:val="22"/>
          <w:lang w:bidi="ar"/>
        </w:rPr>
        <w:t xml:space="preserve"> 《信息安全技术 网络安全等级保护基本要求》GB/T 22239</w:t>
      </w:r>
    </w:p>
    <w:p w14:paraId="09684780">
      <w:pPr>
        <w:spacing w:after="160" w:line="278" w:lineRule="auto"/>
        <w:rPr>
          <w:rFonts w:ascii="宋体" w:hAnsi="宋体" w:cs="Times New Roman"/>
          <w:szCs w:val="22"/>
          <w:lang w:bidi="ar"/>
        </w:rPr>
      </w:pPr>
      <w:r>
        <w:rPr>
          <w:rFonts w:ascii="Times New Roman" w:hAnsi="Times New Roman" w:cs="Times New Roman"/>
          <w:b/>
          <w:kern w:val="0"/>
          <w:lang w:bidi="ar"/>
        </w:rPr>
        <w:t xml:space="preserve">2 </w:t>
      </w:r>
      <w:r>
        <w:rPr>
          <w:rFonts w:ascii="宋体" w:hAnsi="宋体" w:cs="Times New Roman"/>
          <w:szCs w:val="22"/>
          <w:lang w:bidi="ar"/>
        </w:rPr>
        <w:t>《信息安全技术 网络安全等级保护定级指南》GB/T 22240</w:t>
      </w:r>
    </w:p>
    <w:p w14:paraId="02A9A3ED">
      <w:pPr>
        <w:spacing w:after="160" w:line="278" w:lineRule="auto"/>
        <w:rPr>
          <w:rFonts w:ascii="Times New Roman" w:hAnsi="Times New Roman" w:cs="Times New Roman"/>
          <w:b/>
          <w:sz w:val="28"/>
          <w:szCs w:val="28"/>
        </w:rPr>
      </w:pPr>
      <w:r>
        <w:rPr>
          <w:rFonts w:ascii="Times New Roman" w:hAnsi="Times New Roman" w:cs="Times New Roman"/>
          <w:b/>
          <w:kern w:val="0"/>
          <w:lang w:bidi="ar"/>
        </w:rPr>
        <w:t xml:space="preserve">3 </w:t>
      </w:r>
      <w:r>
        <w:rPr>
          <w:rFonts w:ascii="宋体" w:hAnsi="宋体" w:cs="Times New Roman"/>
          <w:szCs w:val="22"/>
          <w:lang w:bidi="ar"/>
        </w:rPr>
        <w:t>《信息安全技术 网络安全等级保护安全设计技术要求》GB/T 25070</w:t>
      </w:r>
    </w:p>
    <w:p w14:paraId="1DC8173C">
      <w:pPr>
        <w:spacing w:line="360" w:lineRule="auto"/>
        <w:jc w:val="center"/>
        <w:rPr>
          <w:rFonts w:ascii="Times New Roman" w:hAnsi="Times New Roman" w:cs="Times New Roman"/>
          <w:b/>
          <w:sz w:val="28"/>
          <w:szCs w:val="28"/>
        </w:rPr>
      </w:pPr>
    </w:p>
    <w:p w14:paraId="21FABC7B">
      <w:pPr>
        <w:spacing w:after="160" w:line="278" w:lineRule="auto"/>
        <w:ind w:firstLine="420"/>
        <w:rPr>
          <w:rFonts w:ascii="Times New Roman" w:hAnsi="Times New Roman" w:cs="Times New Roman"/>
          <w:szCs w:val="24"/>
          <w:lang w:bidi="ar"/>
        </w:rPr>
      </w:pPr>
      <w:r>
        <w:rPr>
          <w:rFonts w:hint="eastAsia" w:ascii="Times New Roman" w:hAnsi="Times New Roman" w:cs="Times New Roman"/>
          <w:szCs w:val="24"/>
          <w:lang w:bidi="ar"/>
        </w:rPr>
        <w:t>。</w:t>
      </w:r>
    </w:p>
    <w:sectPr>
      <w:footerReference r:id="rId8" w:type="first"/>
      <w:footerReference r:id="rId7" w:type="default"/>
      <w:pgSz w:w="11906" w:h="16838"/>
      <w:pgMar w:top="1440" w:right="1800" w:bottom="1440" w:left="1800" w:header="851" w:footer="992" w:gutter="0"/>
      <w:pgNumType w:fmt="decimal"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monospace">
    <w:altName w:val="Times New Roman"/>
    <w:panose1 w:val="00000000000000000000"/>
    <w:charset w:val="00"/>
    <w:family w:val="auto"/>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B48C8E">
    <w:pPr>
      <w:pStyle w:val="18"/>
      <w:jc w:val="center"/>
    </w:pPr>
    <w:sdt>
      <w:sdtPr>
        <w:id w:val="-337620831"/>
        <w:showingPlcHdr/>
        <w:docPartObj>
          <w:docPartGallery w:val="autotext"/>
        </w:docPartObj>
      </w:sdtPr>
      <w:sdtContent>
        <w:r>
          <w:rPr>
            <w:rFonts w:hint="eastAsia"/>
            <w:lang w:eastAsia="zh-CN"/>
          </w:rPr>
          <w:t xml:space="preserve">     </w:t>
        </w:r>
      </w:sdtContent>
    </w:sdt>
  </w:p>
  <w:p w14:paraId="7F4BC5A1">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42E92">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74AEA9">
    <w:pPr>
      <w:pStyle w:val="18"/>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C4FD52">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C4FD52">
                    <w:pPr>
                      <w:pStyle w:val="18"/>
                    </w:pPr>
                    <w:r>
                      <w:fldChar w:fldCharType="begin"/>
                    </w:r>
                    <w:r>
                      <w:instrText xml:space="preserve"> PAGE  \* MERGEFORMAT </w:instrText>
                    </w:r>
                    <w:r>
                      <w:fldChar w:fldCharType="separate"/>
                    </w:r>
                    <w:r>
                      <w:t>1</w:t>
                    </w:r>
                    <w:r>
                      <w:fldChar w:fldCharType="end"/>
                    </w:r>
                  </w:p>
                </w:txbxContent>
              </v:textbox>
            </v:shape>
          </w:pict>
        </mc:Fallback>
      </mc:AlternateContent>
    </w:r>
    <w:sdt>
      <w:sdtPr>
        <w:id w:val="147479076"/>
        <w:showingPlcHdr/>
        <w:docPartObj>
          <w:docPartGallery w:val="autotext"/>
        </w:docPartObj>
      </w:sdtPr>
      <w:sdtContent>
        <w:r>
          <w:rPr>
            <w:rFonts w:hint="eastAsia"/>
            <w:lang w:eastAsia="zh-CN"/>
          </w:rPr>
          <w:t xml:space="preserve">     </w:t>
        </w:r>
      </w:sdtContent>
    </w:sdt>
  </w:p>
  <w:p w14:paraId="6EEC172F">
    <w:pPr>
      <w:pStyle w:val="1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42652134"/>
      <w:docPartObj>
        <w:docPartGallery w:val="autotext"/>
      </w:docPartObj>
    </w:sdtPr>
    <w:sdtContent>
      <w:p w14:paraId="5700D4F5">
        <w:pPr>
          <w:pStyle w:val="18"/>
          <w:jc w:val="center"/>
        </w:pPr>
        <w:r>
          <w:fldChar w:fldCharType="begin"/>
        </w:r>
        <w:r>
          <w:instrText xml:space="preserve">PAGE   \* MERGEFORMAT</w:instrText>
        </w:r>
        <w:r>
          <w:fldChar w:fldCharType="separate"/>
        </w:r>
        <w:r>
          <w:rPr>
            <w:lang w:val="zh-CN"/>
          </w:rPr>
          <w:t>II</w:t>
        </w:r>
        <w:r>
          <w:fldChar w:fldCharType="end"/>
        </w:r>
      </w:p>
    </w:sdtContent>
  </w:sdt>
  <w:p w14:paraId="08DD4459">
    <w:pPr>
      <w:pStyle w:val="1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F8F83">
    <w:pPr>
      <w:pStyle w:val="18"/>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57151"/>
                            <w:docPartObj>
                              <w:docPartGallery w:val="autotext"/>
                            </w:docPartObj>
                          </w:sdtPr>
                          <w:sdtContent>
                            <w:p w14:paraId="2D80E9F3">
                              <w:pPr>
                                <w:pStyle w:val="18"/>
                                <w:jc w:val="center"/>
                              </w:pPr>
                              <w:r>
                                <w:fldChar w:fldCharType="begin"/>
                              </w:r>
                              <w:r>
                                <w:instrText xml:space="preserve">PAGE   \* MERGEFORMAT</w:instrText>
                              </w:r>
                              <w:r>
                                <w:fldChar w:fldCharType="separate"/>
                              </w:r>
                              <w:r>
                                <w:rPr>
                                  <w:lang w:val="zh-CN"/>
                                </w:rPr>
                                <w:t>18</w:t>
                              </w:r>
                              <w:r>
                                <w:fldChar w:fldCharType="end"/>
                              </w:r>
                            </w:p>
                          </w:sdtContent>
                        </w:sdt>
                        <w:p w14:paraId="05B4A6A8"/>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sdt>
                    <w:sdtPr>
                      <w:id w:val="147457151"/>
                      <w:docPartObj>
                        <w:docPartGallery w:val="autotext"/>
                      </w:docPartObj>
                    </w:sdtPr>
                    <w:sdtContent>
                      <w:p w14:paraId="2D80E9F3">
                        <w:pPr>
                          <w:pStyle w:val="18"/>
                          <w:jc w:val="center"/>
                        </w:pPr>
                        <w:r>
                          <w:fldChar w:fldCharType="begin"/>
                        </w:r>
                        <w:r>
                          <w:instrText xml:space="preserve">PAGE   \* MERGEFORMAT</w:instrText>
                        </w:r>
                        <w:r>
                          <w:fldChar w:fldCharType="separate"/>
                        </w:r>
                        <w:r>
                          <w:rPr>
                            <w:lang w:val="zh-CN"/>
                          </w:rPr>
                          <w:t>18</w:t>
                        </w:r>
                        <w:r>
                          <w:fldChar w:fldCharType="end"/>
                        </w:r>
                      </w:p>
                    </w:sdtContent>
                  </w:sdt>
                  <w:p w14:paraId="05B4A6A8"/>
                </w:txbxContent>
              </v:textbox>
            </v:shape>
          </w:pict>
        </mc:Fallback>
      </mc:AlternateContent>
    </w:r>
  </w:p>
  <w:p w14:paraId="3CB5B7A3">
    <w:pPr>
      <w:pStyle w:val="18"/>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6C820">
    <w:pPr>
      <w:pStyle w:val="18"/>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BEFE59">
                          <w:pPr>
                            <w:pStyle w:val="18"/>
                          </w:pPr>
                          <w:r>
                            <w:fldChar w:fldCharType="begin"/>
                          </w:r>
                          <w:r>
                            <w:instrText xml:space="preserve"> PAGE  \* MERGEFORMAT </w:instrText>
                          </w:r>
                          <w:r>
                            <w:fldChar w:fldCharType="separate"/>
                          </w:r>
                          <w:r>
                            <w:t>I</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FBEFE59">
                    <w:pPr>
                      <w:pStyle w:val="18"/>
                    </w:pPr>
                    <w:r>
                      <w:fldChar w:fldCharType="begin"/>
                    </w:r>
                    <w:r>
                      <w:instrText xml:space="preserve"> PAGE  \* MERGEFORMAT </w:instrText>
                    </w:r>
                    <w:r>
                      <w:fldChar w:fldCharType="separate"/>
                    </w:r>
                    <w:r>
                      <w:t>I</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9DC"/>
    <w:rsid w:val="0000096B"/>
    <w:rsid w:val="00002374"/>
    <w:rsid w:val="0000473D"/>
    <w:rsid w:val="000066E5"/>
    <w:rsid w:val="000067C2"/>
    <w:rsid w:val="00006BDD"/>
    <w:rsid w:val="000100D1"/>
    <w:rsid w:val="0001089C"/>
    <w:rsid w:val="00010D7B"/>
    <w:rsid w:val="000114CE"/>
    <w:rsid w:val="000133AF"/>
    <w:rsid w:val="00014120"/>
    <w:rsid w:val="00014F4E"/>
    <w:rsid w:val="00016344"/>
    <w:rsid w:val="000165DE"/>
    <w:rsid w:val="00017128"/>
    <w:rsid w:val="00017F0D"/>
    <w:rsid w:val="0002064E"/>
    <w:rsid w:val="000214A2"/>
    <w:rsid w:val="00021A01"/>
    <w:rsid w:val="00022371"/>
    <w:rsid w:val="00024468"/>
    <w:rsid w:val="0002656F"/>
    <w:rsid w:val="00027A26"/>
    <w:rsid w:val="00030772"/>
    <w:rsid w:val="000307D0"/>
    <w:rsid w:val="00031DAD"/>
    <w:rsid w:val="00031F40"/>
    <w:rsid w:val="00032A11"/>
    <w:rsid w:val="00032BAD"/>
    <w:rsid w:val="000330CF"/>
    <w:rsid w:val="00034FD3"/>
    <w:rsid w:val="0003590B"/>
    <w:rsid w:val="000379A7"/>
    <w:rsid w:val="00040D10"/>
    <w:rsid w:val="00041CCA"/>
    <w:rsid w:val="00041FD9"/>
    <w:rsid w:val="000440D4"/>
    <w:rsid w:val="000452B9"/>
    <w:rsid w:val="000455C8"/>
    <w:rsid w:val="00046184"/>
    <w:rsid w:val="00046972"/>
    <w:rsid w:val="00051C74"/>
    <w:rsid w:val="000536C1"/>
    <w:rsid w:val="00054F46"/>
    <w:rsid w:val="00055350"/>
    <w:rsid w:val="00055DA7"/>
    <w:rsid w:val="00056907"/>
    <w:rsid w:val="00056B5F"/>
    <w:rsid w:val="000578A8"/>
    <w:rsid w:val="0006038F"/>
    <w:rsid w:val="00061B7E"/>
    <w:rsid w:val="00062FBA"/>
    <w:rsid w:val="00063EED"/>
    <w:rsid w:val="000640A9"/>
    <w:rsid w:val="00064A30"/>
    <w:rsid w:val="00065EF1"/>
    <w:rsid w:val="000660F2"/>
    <w:rsid w:val="000701AC"/>
    <w:rsid w:val="000725E8"/>
    <w:rsid w:val="00073478"/>
    <w:rsid w:val="000745D4"/>
    <w:rsid w:val="0007475D"/>
    <w:rsid w:val="0007478C"/>
    <w:rsid w:val="00074E96"/>
    <w:rsid w:val="00074F84"/>
    <w:rsid w:val="00075E9A"/>
    <w:rsid w:val="00076745"/>
    <w:rsid w:val="00076871"/>
    <w:rsid w:val="000768FA"/>
    <w:rsid w:val="000769C6"/>
    <w:rsid w:val="000769CC"/>
    <w:rsid w:val="00076E23"/>
    <w:rsid w:val="000777ED"/>
    <w:rsid w:val="000814B1"/>
    <w:rsid w:val="000857F7"/>
    <w:rsid w:val="00085924"/>
    <w:rsid w:val="000860F7"/>
    <w:rsid w:val="0008749C"/>
    <w:rsid w:val="000905A2"/>
    <w:rsid w:val="0009222A"/>
    <w:rsid w:val="00092DA3"/>
    <w:rsid w:val="00095FA2"/>
    <w:rsid w:val="000A09D4"/>
    <w:rsid w:val="000A0B26"/>
    <w:rsid w:val="000A1B7C"/>
    <w:rsid w:val="000A2CBF"/>
    <w:rsid w:val="000A34F2"/>
    <w:rsid w:val="000A3C28"/>
    <w:rsid w:val="000A5605"/>
    <w:rsid w:val="000A5951"/>
    <w:rsid w:val="000A5C29"/>
    <w:rsid w:val="000A778C"/>
    <w:rsid w:val="000A7D4F"/>
    <w:rsid w:val="000B3137"/>
    <w:rsid w:val="000B3BB4"/>
    <w:rsid w:val="000B5D67"/>
    <w:rsid w:val="000B66FE"/>
    <w:rsid w:val="000B685E"/>
    <w:rsid w:val="000B6D5B"/>
    <w:rsid w:val="000B6E43"/>
    <w:rsid w:val="000C09DE"/>
    <w:rsid w:val="000C0EB5"/>
    <w:rsid w:val="000C1A24"/>
    <w:rsid w:val="000C35AB"/>
    <w:rsid w:val="000C52D4"/>
    <w:rsid w:val="000C5350"/>
    <w:rsid w:val="000C57D6"/>
    <w:rsid w:val="000C6A61"/>
    <w:rsid w:val="000C6BBE"/>
    <w:rsid w:val="000C6D15"/>
    <w:rsid w:val="000C73E5"/>
    <w:rsid w:val="000D19A4"/>
    <w:rsid w:val="000D201E"/>
    <w:rsid w:val="000D2E28"/>
    <w:rsid w:val="000D30D3"/>
    <w:rsid w:val="000D47D4"/>
    <w:rsid w:val="000D4DD1"/>
    <w:rsid w:val="000D5A78"/>
    <w:rsid w:val="000D6E19"/>
    <w:rsid w:val="000D79B1"/>
    <w:rsid w:val="000E14D7"/>
    <w:rsid w:val="000E1D05"/>
    <w:rsid w:val="000E20B0"/>
    <w:rsid w:val="000E2269"/>
    <w:rsid w:val="000E22BB"/>
    <w:rsid w:val="000E25EC"/>
    <w:rsid w:val="000E2649"/>
    <w:rsid w:val="000E2B66"/>
    <w:rsid w:val="000E2BEB"/>
    <w:rsid w:val="000E38CF"/>
    <w:rsid w:val="000E5101"/>
    <w:rsid w:val="000F0588"/>
    <w:rsid w:val="000F0AD2"/>
    <w:rsid w:val="000F0FD1"/>
    <w:rsid w:val="000F5F81"/>
    <w:rsid w:val="000F6E84"/>
    <w:rsid w:val="000F723C"/>
    <w:rsid w:val="0010031D"/>
    <w:rsid w:val="00100760"/>
    <w:rsid w:val="00101445"/>
    <w:rsid w:val="001023E5"/>
    <w:rsid w:val="001027C1"/>
    <w:rsid w:val="00102CE8"/>
    <w:rsid w:val="00103368"/>
    <w:rsid w:val="00104660"/>
    <w:rsid w:val="0010487F"/>
    <w:rsid w:val="00104D72"/>
    <w:rsid w:val="00105A5D"/>
    <w:rsid w:val="00105CA3"/>
    <w:rsid w:val="00105E30"/>
    <w:rsid w:val="00106D04"/>
    <w:rsid w:val="0011195E"/>
    <w:rsid w:val="00114C80"/>
    <w:rsid w:val="00116517"/>
    <w:rsid w:val="0011792C"/>
    <w:rsid w:val="001201EF"/>
    <w:rsid w:val="00121D39"/>
    <w:rsid w:val="0012284B"/>
    <w:rsid w:val="0012297C"/>
    <w:rsid w:val="001236A9"/>
    <w:rsid w:val="001269F0"/>
    <w:rsid w:val="00126C68"/>
    <w:rsid w:val="0013080D"/>
    <w:rsid w:val="00131389"/>
    <w:rsid w:val="0013220B"/>
    <w:rsid w:val="0013278E"/>
    <w:rsid w:val="00134A1A"/>
    <w:rsid w:val="00134CFA"/>
    <w:rsid w:val="0013521B"/>
    <w:rsid w:val="001368E1"/>
    <w:rsid w:val="00136A04"/>
    <w:rsid w:val="00136C41"/>
    <w:rsid w:val="001416A4"/>
    <w:rsid w:val="00142D64"/>
    <w:rsid w:val="00143000"/>
    <w:rsid w:val="001461F0"/>
    <w:rsid w:val="001464B1"/>
    <w:rsid w:val="0015095B"/>
    <w:rsid w:val="00153615"/>
    <w:rsid w:val="001538ED"/>
    <w:rsid w:val="00153981"/>
    <w:rsid w:val="0015443A"/>
    <w:rsid w:val="00155BD0"/>
    <w:rsid w:val="00155C81"/>
    <w:rsid w:val="00156D39"/>
    <w:rsid w:val="0016015A"/>
    <w:rsid w:val="0016025B"/>
    <w:rsid w:val="00160492"/>
    <w:rsid w:val="001621BB"/>
    <w:rsid w:val="001623DE"/>
    <w:rsid w:val="001627B2"/>
    <w:rsid w:val="00163DBB"/>
    <w:rsid w:val="00163DD4"/>
    <w:rsid w:val="0016501D"/>
    <w:rsid w:val="00165322"/>
    <w:rsid w:val="00165BE2"/>
    <w:rsid w:val="001660A8"/>
    <w:rsid w:val="00167628"/>
    <w:rsid w:val="00167EAD"/>
    <w:rsid w:val="00170463"/>
    <w:rsid w:val="001722B4"/>
    <w:rsid w:val="001729BD"/>
    <w:rsid w:val="0017331D"/>
    <w:rsid w:val="001734E5"/>
    <w:rsid w:val="001737AA"/>
    <w:rsid w:val="00174091"/>
    <w:rsid w:val="00175365"/>
    <w:rsid w:val="0017551A"/>
    <w:rsid w:val="00176040"/>
    <w:rsid w:val="001817D7"/>
    <w:rsid w:val="00181F8D"/>
    <w:rsid w:val="00183B8E"/>
    <w:rsid w:val="00184258"/>
    <w:rsid w:val="00184337"/>
    <w:rsid w:val="0018577F"/>
    <w:rsid w:val="00191887"/>
    <w:rsid w:val="0019192F"/>
    <w:rsid w:val="00192F3A"/>
    <w:rsid w:val="0019346C"/>
    <w:rsid w:val="00193B94"/>
    <w:rsid w:val="00195867"/>
    <w:rsid w:val="001966D5"/>
    <w:rsid w:val="00196C5B"/>
    <w:rsid w:val="00197528"/>
    <w:rsid w:val="001A0609"/>
    <w:rsid w:val="001A07DA"/>
    <w:rsid w:val="001A1E99"/>
    <w:rsid w:val="001A29C9"/>
    <w:rsid w:val="001A3422"/>
    <w:rsid w:val="001A4B43"/>
    <w:rsid w:val="001A5256"/>
    <w:rsid w:val="001A5EDF"/>
    <w:rsid w:val="001A6051"/>
    <w:rsid w:val="001A74CB"/>
    <w:rsid w:val="001A7D46"/>
    <w:rsid w:val="001B26F9"/>
    <w:rsid w:val="001B32A4"/>
    <w:rsid w:val="001B457B"/>
    <w:rsid w:val="001B6640"/>
    <w:rsid w:val="001B6A1F"/>
    <w:rsid w:val="001B722A"/>
    <w:rsid w:val="001B7D47"/>
    <w:rsid w:val="001C0676"/>
    <w:rsid w:val="001C09CC"/>
    <w:rsid w:val="001C21EE"/>
    <w:rsid w:val="001C33D7"/>
    <w:rsid w:val="001C3576"/>
    <w:rsid w:val="001C35A0"/>
    <w:rsid w:val="001C44B1"/>
    <w:rsid w:val="001C53EC"/>
    <w:rsid w:val="001C5F93"/>
    <w:rsid w:val="001C7E40"/>
    <w:rsid w:val="001D15FC"/>
    <w:rsid w:val="001D22C7"/>
    <w:rsid w:val="001D2F54"/>
    <w:rsid w:val="001D32E0"/>
    <w:rsid w:val="001D3ED7"/>
    <w:rsid w:val="001D411F"/>
    <w:rsid w:val="001D4FC4"/>
    <w:rsid w:val="001D5F45"/>
    <w:rsid w:val="001D64D5"/>
    <w:rsid w:val="001D6C14"/>
    <w:rsid w:val="001E0183"/>
    <w:rsid w:val="001E102E"/>
    <w:rsid w:val="001E3AFD"/>
    <w:rsid w:val="001E40B1"/>
    <w:rsid w:val="001E493E"/>
    <w:rsid w:val="001E55E1"/>
    <w:rsid w:val="001E5A3F"/>
    <w:rsid w:val="001E5D39"/>
    <w:rsid w:val="001E614D"/>
    <w:rsid w:val="001E6D92"/>
    <w:rsid w:val="001F246D"/>
    <w:rsid w:val="001F34FF"/>
    <w:rsid w:val="001F3B27"/>
    <w:rsid w:val="001F4C90"/>
    <w:rsid w:val="001F5438"/>
    <w:rsid w:val="001F605A"/>
    <w:rsid w:val="001F6B73"/>
    <w:rsid w:val="001F766B"/>
    <w:rsid w:val="00200307"/>
    <w:rsid w:val="00200C6A"/>
    <w:rsid w:val="00201A51"/>
    <w:rsid w:val="00201C68"/>
    <w:rsid w:val="00202864"/>
    <w:rsid w:val="002035A3"/>
    <w:rsid w:val="002035AB"/>
    <w:rsid w:val="00205629"/>
    <w:rsid w:val="00205A7E"/>
    <w:rsid w:val="00205F8F"/>
    <w:rsid w:val="0020651C"/>
    <w:rsid w:val="00207298"/>
    <w:rsid w:val="00210238"/>
    <w:rsid w:val="002115B4"/>
    <w:rsid w:val="002145B5"/>
    <w:rsid w:val="00214BC9"/>
    <w:rsid w:val="002157E1"/>
    <w:rsid w:val="002161EA"/>
    <w:rsid w:val="002163E4"/>
    <w:rsid w:val="002174FF"/>
    <w:rsid w:val="002210E8"/>
    <w:rsid w:val="00222266"/>
    <w:rsid w:val="00223BCF"/>
    <w:rsid w:val="0022747A"/>
    <w:rsid w:val="00227A38"/>
    <w:rsid w:val="00230735"/>
    <w:rsid w:val="00231697"/>
    <w:rsid w:val="002316CA"/>
    <w:rsid w:val="002320FD"/>
    <w:rsid w:val="00232BC1"/>
    <w:rsid w:val="00233FBA"/>
    <w:rsid w:val="002344E7"/>
    <w:rsid w:val="0023459E"/>
    <w:rsid w:val="00235A7D"/>
    <w:rsid w:val="0023755F"/>
    <w:rsid w:val="002377C1"/>
    <w:rsid w:val="00237897"/>
    <w:rsid w:val="002400E6"/>
    <w:rsid w:val="00240207"/>
    <w:rsid w:val="0024065F"/>
    <w:rsid w:val="0024084C"/>
    <w:rsid w:val="00240D17"/>
    <w:rsid w:val="00241004"/>
    <w:rsid w:val="00241254"/>
    <w:rsid w:val="00242EF8"/>
    <w:rsid w:val="002452E5"/>
    <w:rsid w:val="002454BD"/>
    <w:rsid w:val="00245EBD"/>
    <w:rsid w:val="0025081D"/>
    <w:rsid w:val="00250E24"/>
    <w:rsid w:val="00251705"/>
    <w:rsid w:val="00252C5E"/>
    <w:rsid w:val="00253A2F"/>
    <w:rsid w:val="00253DFF"/>
    <w:rsid w:val="00254602"/>
    <w:rsid w:val="00254BD1"/>
    <w:rsid w:val="00260AA1"/>
    <w:rsid w:val="00262CC2"/>
    <w:rsid w:val="0026412A"/>
    <w:rsid w:val="002644A9"/>
    <w:rsid w:val="00265318"/>
    <w:rsid w:val="002655E4"/>
    <w:rsid w:val="00270A1C"/>
    <w:rsid w:val="00270E3E"/>
    <w:rsid w:val="00271246"/>
    <w:rsid w:val="002717E2"/>
    <w:rsid w:val="0027315A"/>
    <w:rsid w:val="00277702"/>
    <w:rsid w:val="00280DA4"/>
    <w:rsid w:val="00281DD0"/>
    <w:rsid w:val="0028266E"/>
    <w:rsid w:val="00283594"/>
    <w:rsid w:val="00283B88"/>
    <w:rsid w:val="002840C2"/>
    <w:rsid w:val="002861CF"/>
    <w:rsid w:val="00286A58"/>
    <w:rsid w:val="002906BE"/>
    <w:rsid w:val="0029218B"/>
    <w:rsid w:val="00292513"/>
    <w:rsid w:val="00294798"/>
    <w:rsid w:val="00295CC8"/>
    <w:rsid w:val="00295DE1"/>
    <w:rsid w:val="002972A6"/>
    <w:rsid w:val="00297931"/>
    <w:rsid w:val="002A0169"/>
    <w:rsid w:val="002A36C3"/>
    <w:rsid w:val="002A468E"/>
    <w:rsid w:val="002A6A9D"/>
    <w:rsid w:val="002B02DC"/>
    <w:rsid w:val="002B0D5D"/>
    <w:rsid w:val="002B1412"/>
    <w:rsid w:val="002B16C6"/>
    <w:rsid w:val="002B194C"/>
    <w:rsid w:val="002B2997"/>
    <w:rsid w:val="002B2F9D"/>
    <w:rsid w:val="002B33F5"/>
    <w:rsid w:val="002B371B"/>
    <w:rsid w:val="002B4830"/>
    <w:rsid w:val="002B4949"/>
    <w:rsid w:val="002B5B3E"/>
    <w:rsid w:val="002B62DD"/>
    <w:rsid w:val="002B6591"/>
    <w:rsid w:val="002B6657"/>
    <w:rsid w:val="002B79EB"/>
    <w:rsid w:val="002C0E98"/>
    <w:rsid w:val="002C101B"/>
    <w:rsid w:val="002C15E6"/>
    <w:rsid w:val="002C2B30"/>
    <w:rsid w:val="002C2E23"/>
    <w:rsid w:val="002C3A4F"/>
    <w:rsid w:val="002C3F4A"/>
    <w:rsid w:val="002C493C"/>
    <w:rsid w:val="002C548E"/>
    <w:rsid w:val="002C6319"/>
    <w:rsid w:val="002C78F7"/>
    <w:rsid w:val="002D091F"/>
    <w:rsid w:val="002D211A"/>
    <w:rsid w:val="002D2E91"/>
    <w:rsid w:val="002D2EC7"/>
    <w:rsid w:val="002D319C"/>
    <w:rsid w:val="002D37F8"/>
    <w:rsid w:val="002D44D4"/>
    <w:rsid w:val="002D4B74"/>
    <w:rsid w:val="002D6201"/>
    <w:rsid w:val="002D6C3F"/>
    <w:rsid w:val="002D7422"/>
    <w:rsid w:val="002D7425"/>
    <w:rsid w:val="002E0450"/>
    <w:rsid w:val="002E0B84"/>
    <w:rsid w:val="002E1959"/>
    <w:rsid w:val="002E200A"/>
    <w:rsid w:val="002E2A74"/>
    <w:rsid w:val="002E4A56"/>
    <w:rsid w:val="002E4F9E"/>
    <w:rsid w:val="002E55BF"/>
    <w:rsid w:val="002E58F8"/>
    <w:rsid w:val="002E6185"/>
    <w:rsid w:val="002E69CC"/>
    <w:rsid w:val="002F06ED"/>
    <w:rsid w:val="002F1CCA"/>
    <w:rsid w:val="002F315C"/>
    <w:rsid w:val="002F3CAD"/>
    <w:rsid w:val="002F5326"/>
    <w:rsid w:val="002F5AC6"/>
    <w:rsid w:val="002F6214"/>
    <w:rsid w:val="002F64B0"/>
    <w:rsid w:val="002F74E6"/>
    <w:rsid w:val="002F772F"/>
    <w:rsid w:val="00302E67"/>
    <w:rsid w:val="0030313D"/>
    <w:rsid w:val="0030452D"/>
    <w:rsid w:val="0030579C"/>
    <w:rsid w:val="00305C72"/>
    <w:rsid w:val="00305FF3"/>
    <w:rsid w:val="00306F08"/>
    <w:rsid w:val="003070A7"/>
    <w:rsid w:val="00307FCD"/>
    <w:rsid w:val="00312111"/>
    <w:rsid w:val="00313A57"/>
    <w:rsid w:val="00313E06"/>
    <w:rsid w:val="00313ECA"/>
    <w:rsid w:val="00314357"/>
    <w:rsid w:val="00314C49"/>
    <w:rsid w:val="0031623F"/>
    <w:rsid w:val="0031629F"/>
    <w:rsid w:val="00316342"/>
    <w:rsid w:val="00316500"/>
    <w:rsid w:val="003174F1"/>
    <w:rsid w:val="00317C88"/>
    <w:rsid w:val="00320B4B"/>
    <w:rsid w:val="0032162F"/>
    <w:rsid w:val="00322535"/>
    <w:rsid w:val="00323AFF"/>
    <w:rsid w:val="003241BD"/>
    <w:rsid w:val="003245FE"/>
    <w:rsid w:val="003260E6"/>
    <w:rsid w:val="003270C4"/>
    <w:rsid w:val="0032769D"/>
    <w:rsid w:val="00330620"/>
    <w:rsid w:val="00330830"/>
    <w:rsid w:val="00330BE8"/>
    <w:rsid w:val="00331086"/>
    <w:rsid w:val="00331821"/>
    <w:rsid w:val="00332D87"/>
    <w:rsid w:val="00333CA6"/>
    <w:rsid w:val="00336325"/>
    <w:rsid w:val="00336668"/>
    <w:rsid w:val="00336B8A"/>
    <w:rsid w:val="0034212C"/>
    <w:rsid w:val="003454CA"/>
    <w:rsid w:val="003457A2"/>
    <w:rsid w:val="00345A68"/>
    <w:rsid w:val="00347AFD"/>
    <w:rsid w:val="00347C0C"/>
    <w:rsid w:val="00350B53"/>
    <w:rsid w:val="00351026"/>
    <w:rsid w:val="003522D1"/>
    <w:rsid w:val="00352D1E"/>
    <w:rsid w:val="00354628"/>
    <w:rsid w:val="0035482C"/>
    <w:rsid w:val="00357711"/>
    <w:rsid w:val="00360401"/>
    <w:rsid w:val="003615E4"/>
    <w:rsid w:val="003626A7"/>
    <w:rsid w:val="00363A5A"/>
    <w:rsid w:val="00365600"/>
    <w:rsid w:val="003679E5"/>
    <w:rsid w:val="0037129E"/>
    <w:rsid w:val="0037283B"/>
    <w:rsid w:val="00372C01"/>
    <w:rsid w:val="00373170"/>
    <w:rsid w:val="003733C3"/>
    <w:rsid w:val="003734F5"/>
    <w:rsid w:val="003760E3"/>
    <w:rsid w:val="0037614D"/>
    <w:rsid w:val="0038493D"/>
    <w:rsid w:val="00385250"/>
    <w:rsid w:val="00386BFD"/>
    <w:rsid w:val="00387013"/>
    <w:rsid w:val="00387CC4"/>
    <w:rsid w:val="0039047F"/>
    <w:rsid w:val="00391369"/>
    <w:rsid w:val="00392F85"/>
    <w:rsid w:val="00393174"/>
    <w:rsid w:val="003952F0"/>
    <w:rsid w:val="00395509"/>
    <w:rsid w:val="00395B6B"/>
    <w:rsid w:val="0039692F"/>
    <w:rsid w:val="003976D3"/>
    <w:rsid w:val="003A159C"/>
    <w:rsid w:val="003A1AC5"/>
    <w:rsid w:val="003A59E7"/>
    <w:rsid w:val="003A6208"/>
    <w:rsid w:val="003A7388"/>
    <w:rsid w:val="003A76C2"/>
    <w:rsid w:val="003A7898"/>
    <w:rsid w:val="003B109D"/>
    <w:rsid w:val="003B2851"/>
    <w:rsid w:val="003B3843"/>
    <w:rsid w:val="003B3BF1"/>
    <w:rsid w:val="003B5262"/>
    <w:rsid w:val="003B56A8"/>
    <w:rsid w:val="003B5A94"/>
    <w:rsid w:val="003B73E6"/>
    <w:rsid w:val="003B7DBB"/>
    <w:rsid w:val="003C06C8"/>
    <w:rsid w:val="003C0DD6"/>
    <w:rsid w:val="003C1A7E"/>
    <w:rsid w:val="003C1CF0"/>
    <w:rsid w:val="003C42BC"/>
    <w:rsid w:val="003C4792"/>
    <w:rsid w:val="003C4B1C"/>
    <w:rsid w:val="003C5180"/>
    <w:rsid w:val="003C576F"/>
    <w:rsid w:val="003C5FD6"/>
    <w:rsid w:val="003C674B"/>
    <w:rsid w:val="003C6DFF"/>
    <w:rsid w:val="003D21BE"/>
    <w:rsid w:val="003D5BC6"/>
    <w:rsid w:val="003D78DD"/>
    <w:rsid w:val="003E0BA0"/>
    <w:rsid w:val="003E179D"/>
    <w:rsid w:val="003E17D0"/>
    <w:rsid w:val="003E355B"/>
    <w:rsid w:val="003E432E"/>
    <w:rsid w:val="003E4F59"/>
    <w:rsid w:val="003E5713"/>
    <w:rsid w:val="003E5A8F"/>
    <w:rsid w:val="003F1578"/>
    <w:rsid w:val="003F1E92"/>
    <w:rsid w:val="003F2265"/>
    <w:rsid w:val="003F4680"/>
    <w:rsid w:val="003F5050"/>
    <w:rsid w:val="003F7378"/>
    <w:rsid w:val="0040104E"/>
    <w:rsid w:val="0040199C"/>
    <w:rsid w:val="00403068"/>
    <w:rsid w:val="0040393D"/>
    <w:rsid w:val="004059BA"/>
    <w:rsid w:val="00405E25"/>
    <w:rsid w:val="00410DE0"/>
    <w:rsid w:val="004137B7"/>
    <w:rsid w:val="004139BE"/>
    <w:rsid w:val="00413E13"/>
    <w:rsid w:val="00414143"/>
    <w:rsid w:val="00414670"/>
    <w:rsid w:val="00414A0B"/>
    <w:rsid w:val="00416961"/>
    <w:rsid w:val="00421C38"/>
    <w:rsid w:val="004235CB"/>
    <w:rsid w:val="00423AD2"/>
    <w:rsid w:val="00423BA2"/>
    <w:rsid w:val="00423DC3"/>
    <w:rsid w:val="00423EE1"/>
    <w:rsid w:val="00426349"/>
    <w:rsid w:val="004263E5"/>
    <w:rsid w:val="004271C1"/>
    <w:rsid w:val="0042721A"/>
    <w:rsid w:val="0042752B"/>
    <w:rsid w:val="00431162"/>
    <w:rsid w:val="0043198A"/>
    <w:rsid w:val="00431A17"/>
    <w:rsid w:val="00431D43"/>
    <w:rsid w:val="00432248"/>
    <w:rsid w:val="00432D4F"/>
    <w:rsid w:val="00434C9A"/>
    <w:rsid w:val="00435037"/>
    <w:rsid w:val="00436177"/>
    <w:rsid w:val="00441233"/>
    <w:rsid w:val="00442B21"/>
    <w:rsid w:val="0044525D"/>
    <w:rsid w:val="0044560B"/>
    <w:rsid w:val="00446492"/>
    <w:rsid w:val="004478F9"/>
    <w:rsid w:val="004500F7"/>
    <w:rsid w:val="00452B71"/>
    <w:rsid w:val="004551D5"/>
    <w:rsid w:val="00456617"/>
    <w:rsid w:val="00456A4B"/>
    <w:rsid w:val="00461134"/>
    <w:rsid w:val="00462559"/>
    <w:rsid w:val="00463100"/>
    <w:rsid w:val="00463B8C"/>
    <w:rsid w:val="004642BE"/>
    <w:rsid w:val="004650FF"/>
    <w:rsid w:val="004652A7"/>
    <w:rsid w:val="004655D5"/>
    <w:rsid w:val="00466F66"/>
    <w:rsid w:val="00473BFA"/>
    <w:rsid w:val="004752F3"/>
    <w:rsid w:val="0047597E"/>
    <w:rsid w:val="00477157"/>
    <w:rsid w:val="004778E0"/>
    <w:rsid w:val="00480524"/>
    <w:rsid w:val="00480933"/>
    <w:rsid w:val="00480EA0"/>
    <w:rsid w:val="00481D25"/>
    <w:rsid w:val="00481EF7"/>
    <w:rsid w:val="00483C01"/>
    <w:rsid w:val="00484192"/>
    <w:rsid w:val="00486C87"/>
    <w:rsid w:val="00486D00"/>
    <w:rsid w:val="00487065"/>
    <w:rsid w:val="00487181"/>
    <w:rsid w:val="00487410"/>
    <w:rsid w:val="0049035C"/>
    <w:rsid w:val="00491ACC"/>
    <w:rsid w:val="00491D9D"/>
    <w:rsid w:val="00492C87"/>
    <w:rsid w:val="00493111"/>
    <w:rsid w:val="00494628"/>
    <w:rsid w:val="00495091"/>
    <w:rsid w:val="004962C6"/>
    <w:rsid w:val="00497C71"/>
    <w:rsid w:val="004A056F"/>
    <w:rsid w:val="004A1D19"/>
    <w:rsid w:val="004A284F"/>
    <w:rsid w:val="004A2B3D"/>
    <w:rsid w:val="004A4362"/>
    <w:rsid w:val="004A6626"/>
    <w:rsid w:val="004A672B"/>
    <w:rsid w:val="004A67A5"/>
    <w:rsid w:val="004A70E2"/>
    <w:rsid w:val="004A7C11"/>
    <w:rsid w:val="004B1396"/>
    <w:rsid w:val="004B14A6"/>
    <w:rsid w:val="004B2E71"/>
    <w:rsid w:val="004B4850"/>
    <w:rsid w:val="004B5822"/>
    <w:rsid w:val="004B5AE2"/>
    <w:rsid w:val="004B5CA9"/>
    <w:rsid w:val="004B7BA1"/>
    <w:rsid w:val="004B7D48"/>
    <w:rsid w:val="004C0192"/>
    <w:rsid w:val="004C0A5D"/>
    <w:rsid w:val="004C16E0"/>
    <w:rsid w:val="004C1E74"/>
    <w:rsid w:val="004C3A01"/>
    <w:rsid w:val="004C44B8"/>
    <w:rsid w:val="004C6AB6"/>
    <w:rsid w:val="004D183F"/>
    <w:rsid w:val="004D191C"/>
    <w:rsid w:val="004D1D34"/>
    <w:rsid w:val="004D20DC"/>
    <w:rsid w:val="004D24D6"/>
    <w:rsid w:val="004D57F0"/>
    <w:rsid w:val="004E1F96"/>
    <w:rsid w:val="004E49C6"/>
    <w:rsid w:val="004E4C3D"/>
    <w:rsid w:val="004E4D82"/>
    <w:rsid w:val="004E5296"/>
    <w:rsid w:val="004E56F1"/>
    <w:rsid w:val="004E68BE"/>
    <w:rsid w:val="004E70BE"/>
    <w:rsid w:val="004E7372"/>
    <w:rsid w:val="004F2852"/>
    <w:rsid w:val="004F3219"/>
    <w:rsid w:val="004F74C7"/>
    <w:rsid w:val="004F7B63"/>
    <w:rsid w:val="00501CE8"/>
    <w:rsid w:val="00502217"/>
    <w:rsid w:val="005023E9"/>
    <w:rsid w:val="00503B8A"/>
    <w:rsid w:val="00503CC0"/>
    <w:rsid w:val="005041DE"/>
    <w:rsid w:val="00504231"/>
    <w:rsid w:val="00506EAE"/>
    <w:rsid w:val="005075D9"/>
    <w:rsid w:val="00507C76"/>
    <w:rsid w:val="00507DF5"/>
    <w:rsid w:val="00510041"/>
    <w:rsid w:val="00510D31"/>
    <w:rsid w:val="005146E0"/>
    <w:rsid w:val="00515E4F"/>
    <w:rsid w:val="005160EC"/>
    <w:rsid w:val="00517562"/>
    <w:rsid w:val="005178BB"/>
    <w:rsid w:val="005179DE"/>
    <w:rsid w:val="00517E48"/>
    <w:rsid w:val="005200A9"/>
    <w:rsid w:val="0052021D"/>
    <w:rsid w:val="00520380"/>
    <w:rsid w:val="00520487"/>
    <w:rsid w:val="005208F7"/>
    <w:rsid w:val="00522F86"/>
    <w:rsid w:val="005253C4"/>
    <w:rsid w:val="0052587A"/>
    <w:rsid w:val="00525B60"/>
    <w:rsid w:val="00526220"/>
    <w:rsid w:val="0053014B"/>
    <w:rsid w:val="00531C8B"/>
    <w:rsid w:val="00531D86"/>
    <w:rsid w:val="00532E69"/>
    <w:rsid w:val="005340A3"/>
    <w:rsid w:val="0053450D"/>
    <w:rsid w:val="00534965"/>
    <w:rsid w:val="00537219"/>
    <w:rsid w:val="00537A61"/>
    <w:rsid w:val="005400A4"/>
    <w:rsid w:val="005418A7"/>
    <w:rsid w:val="0054253F"/>
    <w:rsid w:val="00544CBD"/>
    <w:rsid w:val="0054575F"/>
    <w:rsid w:val="00545966"/>
    <w:rsid w:val="00545CC4"/>
    <w:rsid w:val="00547FA0"/>
    <w:rsid w:val="005506CA"/>
    <w:rsid w:val="00551D57"/>
    <w:rsid w:val="00552882"/>
    <w:rsid w:val="005544AB"/>
    <w:rsid w:val="0055536A"/>
    <w:rsid w:val="00555965"/>
    <w:rsid w:val="00555BA4"/>
    <w:rsid w:val="00556327"/>
    <w:rsid w:val="0055652A"/>
    <w:rsid w:val="00556D6E"/>
    <w:rsid w:val="00556EE5"/>
    <w:rsid w:val="00557233"/>
    <w:rsid w:val="00560161"/>
    <w:rsid w:val="00560671"/>
    <w:rsid w:val="00561B8F"/>
    <w:rsid w:val="00563E9E"/>
    <w:rsid w:val="00563FB7"/>
    <w:rsid w:val="00564101"/>
    <w:rsid w:val="00564463"/>
    <w:rsid w:val="00565309"/>
    <w:rsid w:val="0056632E"/>
    <w:rsid w:val="00567542"/>
    <w:rsid w:val="005712D7"/>
    <w:rsid w:val="00571B5D"/>
    <w:rsid w:val="0057238A"/>
    <w:rsid w:val="0057255B"/>
    <w:rsid w:val="00572643"/>
    <w:rsid w:val="00572A39"/>
    <w:rsid w:val="005730B6"/>
    <w:rsid w:val="0057325A"/>
    <w:rsid w:val="00574B8F"/>
    <w:rsid w:val="00574EF0"/>
    <w:rsid w:val="0057570C"/>
    <w:rsid w:val="0057579A"/>
    <w:rsid w:val="00576943"/>
    <w:rsid w:val="005807A4"/>
    <w:rsid w:val="005815B3"/>
    <w:rsid w:val="005819A6"/>
    <w:rsid w:val="0058257A"/>
    <w:rsid w:val="00582FF9"/>
    <w:rsid w:val="005855D1"/>
    <w:rsid w:val="0058675B"/>
    <w:rsid w:val="00586B3C"/>
    <w:rsid w:val="00587169"/>
    <w:rsid w:val="005875ED"/>
    <w:rsid w:val="00587E15"/>
    <w:rsid w:val="0059014D"/>
    <w:rsid w:val="00590537"/>
    <w:rsid w:val="0059211F"/>
    <w:rsid w:val="005A2D5C"/>
    <w:rsid w:val="005A4F9E"/>
    <w:rsid w:val="005A540F"/>
    <w:rsid w:val="005A56C2"/>
    <w:rsid w:val="005A7A91"/>
    <w:rsid w:val="005B00E7"/>
    <w:rsid w:val="005B1BAC"/>
    <w:rsid w:val="005B253E"/>
    <w:rsid w:val="005B2F9D"/>
    <w:rsid w:val="005B3CD4"/>
    <w:rsid w:val="005B7BF1"/>
    <w:rsid w:val="005C1218"/>
    <w:rsid w:val="005C1A27"/>
    <w:rsid w:val="005C208D"/>
    <w:rsid w:val="005C22BA"/>
    <w:rsid w:val="005C3D6F"/>
    <w:rsid w:val="005C3E92"/>
    <w:rsid w:val="005C45F7"/>
    <w:rsid w:val="005C46AA"/>
    <w:rsid w:val="005C54CA"/>
    <w:rsid w:val="005C639F"/>
    <w:rsid w:val="005C7301"/>
    <w:rsid w:val="005C780F"/>
    <w:rsid w:val="005D0DC6"/>
    <w:rsid w:val="005D2EB6"/>
    <w:rsid w:val="005D399C"/>
    <w:rsid w:val="005D46B7"/>
    <w:rsid w:val="005D5D0A"/>
    <w:rsid w:val="005D634A"/>
    <w:rsid w:val="005E447F"/>
    <w:rsid w:val="005E5AA4"/>
    <w:rsid w:val="005E6B3A"/>
    <w:rsid w:val="005F09E7"/>
    <w:rsid w:val="005F0B68"/>
    <w:rsid w:val="005F115D"/>
    <w:rsid w:val="005F28C6"/>
    <w:rsid w:val="005F2BB5"/>
    <w:rsid w:val="005F39C9"/>
    <w:rsid w:val="005F60E3"/>
    <w:rsid w:val="005F6189"/>
    <w:rsid w:val="005F6656"/>
    <w:rsid w:val="005F7EE7"/>
    <w:rsid w:val="006005A3"/>
    <w:rsid w:val="00602FA0"/>
    <w:rsid w:val="00603172"/>
    <w:rsid w:val="006039A0"/>
    <w:rsid w:val="00604445"/>
    <w:rsid w:val="00604F9B"/>
    <w:rsid w:val="00605247"/>
    <w:rsid w:val="00607392"/>
    <w:rsid w:val="006104C2"/>
    <w:rsid w:val="00610655"/>
    <w:rsid w:val="006110DF"/>
    <w:rsid w:val="006116F4"/>
    <w:rsid w:val="00612355"/>
    <w:rsid w:val="0061251B"/>
    <w:rsid w:val="00612D48"/>
    <w:rsid w:val="0061545E"/>
    <w:rsid w:val="00621316"/>
    <w:rsid w:val="00623D52"/>
    <w:rsid w:val="00625CAC"/>
    <w:rsid w:val="00632224"/>
    <w:rsid w:val="00632654"/>
    <w:rsid w:val="0063290F"/>
    <w:rsid w:val="006333BE"/>
    <w:rsid w:val="00634129"/>
    <w:rsid w:val="006348AC"/>
    <w:rsid w:val="006351D3"/>
    <w:rsid w:val="00636807"/>
    <w:rsid w:val="00636AB2"/>
    <w:rsid w:val="00637A42"/>
    <w:rsid w:val="00641A10"/>
    <w:rsid w:val="006434B4"/>
    <w:rsid w:val="006447FE"/>
    <w:rsid w:val="00644A6F"/>
    <w:rsid w:val="00650051"/>
    <w:rsid w:val="006504C6"/>
    <w:rsid w:val="0065121D"/>
    <w:rsid w:val="006521FC"/>
    <w:rsid w:val="00653EBB"/>
    <w:rsid w:val="006542D7"/>
    <w:rsid w:val="006545D8"/>
    <w:rsid w:val="00656C77"/>
    <w:rsid w:val="006616D4"/>
    <w:rsid w:val="0066226C"/>
    <w:rsid w:val="00665223"/>
    <w:rsid w:val="00665224"/>
    <w:rsid w:val="006671C2"/>
    <w:rsid w:val="00667217"/>
    <w:rsid w:val="00670684"/>
    <w:rsid w:val="00670F3F"/>
    <w:rsid w:val="0067470A"/>
    <w:rsid w:val="00674BFB"/>
    <w:rsid w:val="0067759A"/>
    <w:rsid w:val="00681BD2"/>
    <w:rsid w:val="00681C31"/>
    <w:rsid w:val="00681CE7"/>
    <w:rsid w:val="006825DD"/>
    <w:rsid w:val="006848EA"/>
    <w:rsid w:val="00684F4D"/>
    <w:rsid w:val="00685E7A"/>
    <w:rsid w:val="00690C85"/>
    <w:rsid w:val="006912C9"/>
    <w:rsid w:val="006941A2"/>
    <w:rsid w:val="006950B7"/>
    <w:rsid w:val="00695BAC"/>
    <w:rsid w:val="00696B4D"/>
    <w:rsid w:val="006977B1"/>
    <w:rsid w:val="00697FDD"/>
    <w:rsid w:val="006A03E2"/>
    <w:rsid w:val="006A0EA1"/>
    <w:rsid w:val="006A2D85"/>
    <w:rsid w:val="006A3109"/>
    <w:rsid w:val="006A3FDD"/>
    <w:rsid w:val="006A4505"/>
    <w:rsid w:val="006A58C6"/>
    <w:rsid w:val="006A6138"/>
    <w:rsid w:val="006A6F32"/>
    <w:rsid w:val="006A7366"/>
    <w:rsid w:val="006A7D1C"/>
    <w:rsid w:val="006B083E"/>
    <w:rsid w:val="006B14EF"/>
    <w:rsid w:val="006B1D8D"/>
    <w:rsid w:val="006B2E5A"/>
    <w:rsid w:val="006B32E3"/>
    <w:rsid w:val="006B3B28"/>
    <w:rsid w:val="006B3D81"/>
    <w:rsid w:val="006B674D"/>
    <w:rsid w:val="006B72D4"/>
    <w:rsid w:val="006B7675"/>
    <w:rsid w:val="006B7ADC"/>
    <w:rsid w:val="006C0435"/>
    <w:rsid w:val="006C1761"/>
    <w:rsid w:val="006C3CF0"/>
    <w:rsid w:val="006C4055"/>
    <w:rsid w:val="006C4171"/>
    <w:rsid w:val="006C4C8A"/>
    <w:rsid w:val="006C55CD"/>
    <w:rsid w:val="006C5A0D"/>
    <w:rsid w:val="006C6734"/>
    <w:rsid w:val="006C7141"/>
    <w:rsid w:val="006C7BC2"/>
    <w:rsid w:val="006D0785"/>
    <w:rsid w:val="006D0A1F"/>
    <w:rsid w:val="006D1FC8"/>
    <w:rsid w:val="006D2C40"/>
    <w:rsid w:val="006D379B"/>
    <w:rsid w:val="006D576E"/>
    <w:rsid w:val="006D5D2A"/>
    <w:rsid w:val="006E00F0"/>
    <w:rsid w:val="006E0379"/>
    <w:rsid w:val="006E177E"/>
    <w:rsid w:val="006E3A2C"/>
    <w:rsid w:val="006E48E6"/>
    <w:rsid w:val="006E4D5D"/>
    <w:rsid w:val="006E55D5"/>
    <w:rsid w:val="006E626A"/>
    <w:rsid w:val="006E698C"/>
    <w:rsid w:val="006E6DF0"/>
    <w:rsid w:val="006E74D0"/>
    <w:rsid w:val="006F0854"/>
    <w:rsid w:val="006F162E"/>
    <w:rsid w:val="006F18B7"/>
    <w:rsid w:val="006F46FE"/>
    <w:rsid w:val="006F58BA"/>
    <w:rsid w:val="006F7073"/>
    <w:rsid w:val="006F7157"/>
    <w:rsid w:val="006F7595"/>
    <w:rsid w:val="006F7699"/>
    <w:rsid w:val="007008F0"/>
    <w:rsid w:val="00700C2D"/>
    <w:rsid w:val="00704214"/>
    <w:rsid w:val="0070670E"/>
    <w:rsid w:val="00706997"/>
    <w:rsid w:val="00707EA7"/>
    <w:rsid w:val="007109B6"/>
    <w:rsid w:val="007120D2"/>
    <w:rsid w:val="00713DE2"/>
    <w:rsid w:val="0071444E"/>
    <w:rsid w:val="00715A8A"/>
    <w:rsid w:val="007161DB"/>
    <w:rsid w:val="0071699D"/>
    <w:rsid w:val="00716F39"/>
    <w:rsid w:val="007206A6"/>
    <w:rsid w:val="00720FAE"/>
    <w:rsid w:val="00722BD1"/>
    <w:rsid w:val="0072315F"/>
    <w:rsid w:val="00723909"/>
    <w:rsid w:val="00723946"/>
    <w:rsid w:val="00723E24"/>
    <w:rsid w:val="0072424E"/>
    <w:rsid w:val="00724C8A"/>
    <w:rsid w:val="007270D9"/>
    <w:rsid w:val="0072720A"/>
    <w:rsid w:val="0072775C"/>
    <w:rsid w:val="00727EC7"/>
    <w:rsid w:val="00730878"/>
    <w:rsid w:val="0073209F"/>
    <w:rsid w:val="00732280"/>
    <w:rsid w:val="007325A0"/>
    <w:rsid w:val="007342B8"/>
    <w:rsid w:val="007357F0"/>
    <w:rsid w:val="00737109"/>
    <w:rsid w:val="00740CAB"/>
    <w:rsid w:val="00741D1A"/>
    <w:rsid w:val="00742017"/>
    <w:rsid w:val="00742A34"/>
    <w:rsid w:val="0074624B"/>
    <w:rsid w:val="0074641D"/>
    <w:rsid w:val="00747295"/>
    <w:rsid w:val="00747B51"/>
    <w:rsid w:val="007516BA"/>
    <w:rsid w:val="00753ED5"/>
    <w:rsid w:val="0075409C"/>
    <w:rsid w:val="0075544B"/>
    <w:rsid w:val="0075571C"/>
    <w:rsid w:val="00755DC6"/>
    <w:rsid w:val="0075689B"/>
    <w:rsid w:val="0076041B"/>
    <w:rsid w:val="00762263"/>
    <w:rsid w:val="00762BBA"/>
    <w:rsid w:val="0076338C"/>
    <w:rsid w:val="0076412A"/>
    <w:rsid w:val="0076538E"/>
    <w:rsid w:val="0076551D"/>
    <w:rsid w:val="007658A3"/>
    <w:rsid w:val="00765B67"/>
    <w:rsid w:val="00767C60"/>
    <w:rsid w:val="00770A0B"/>
    <w:rsid w:val="0077339E"/>
    <w:rsid w:val="00773E12"/>
    <w:rsid w:val="00774AF2"/>
    <w:rsid w:val="0077546A"/>
    <w:rsid w:val="00775B62"/>
    <w:rsid w:val="00780301"/>
    <w:rsid w:val="00781824"/>
    <w:rsid w:val="00782EAA"/>
    <w:rsid w:val="00783543"/>
    <w:rsid w:val="0078524F"/>
    <w:rsid w:val="007859CC"/>
    <w:rsid w:val="0078648F"/>
    <w:rsid w:val="0078769B"/>
    <w:rsid w:val="00787BDA"/>
    <w:rsid w:val="00790630"/>
    <w:rsid w:val="00790EEC"/>
    <w:rsid w:val="00793039"/>
    <w:rsid w:val="00793C88"/>
    <w:rsid w:val="0079644F"/>
    <w:rsid w:val="00796497"/>
    <w:rsid w:val="00797368"/>
    <w:rsid w:val="00797BB3"/>
    <w:rsid w:val="007A0225"/>
    <w:rsid w:val="007A0AC2"/>
    <w:rsid w:val="007A21D4"/>
    <w:rsid w:val="007A2412"/>
    <w:rsid w:val="007A3BE5"/>
    <w:rsid w:val="007A5CDC"/>
    <w:rsid w:val="007A6160"/>
    <w:rsid w:val="007A616C"/>
    <w:rsid w:val="007A79C6"/>
    <w:rsid w:val="007B177C"/>
    <w:rsid w:val="007B1D6C"/>
    <w:rsid w:val="007B2BA8"/>
    <w:rsid w:val="007B492B"/>
    <w:rsid w:val="007B5D14"/>
    <w:rsid w:val="007B6C87"/>
    <w:rsid w:val="007C00F6"/>
    <w:rsid w:val="007C04F0"/>
    <w:rsid w:val="007C0B66"/>
    <w:rsid w:val="007C0E34"/>
    <w:rsid w:val="007C0E55"/>
    <w:rsid w:val="007C16A2"/>
    <w:rsid w:val="007C1EEF"/>
    <w:rsid w:val="007C2654"/>
    <w:rsid w:val="007C2D4B"/>
    <w:rsid w:val="007C44CA"/>
    <w:rsid w:val="007C6BA1"/>
    <w:rsid w:val="007C6CE9"/>
    <w:rsid w:val="007C7223"/>
    <w:rsid w:val="007C73B9"/>
    <w:rsid w:val="007D1B1C"/>
    <w:rsid w:val="007D2649"/>
    <w:rsid w:val="007D33BA"/>
    <w:rsid w:val="007D5ED9"/>
    <w:rsid w:val="007D6535"/>
    <w:rsid w:val="007D6C02"/>
    <w:rsid w:val="007D6EF2"/>
    <w:rsid w:val="007E2F48"/>
    <w:rsid w:val="007E30E9"/>
    <w:rsid w:val="007E43FA"/>
    <w:rsid w:val="007E4A83"/>
    <w:rsid w:val="007E5D85"/>
    <w:rsid w:val="007E7426"/>
    <w:rsid w:val="007E7C8A"/>
    <w:rsid w:val="007F027B"/>
    <w:rsid w:val="007F1488"/>
    <w:rsid w:val="007F26D2"/>
    <w:rsid w:val="007F359B"/>
    <w:rsid w:val="007F3FD6"/>
    <w:rsid w:val="007F4E42"/>
    <w:rsid w:val="007F56B6"/>
    <w:rsid w:val="007F7C05"/>
    <w:rsid w:val="0080052A"/>
    <w:rsid w:val="008021F5"/>
    <w:rsid w:val="008037AC"/>
    <w:rsid w:val="00803B9E"/>
    <w:rsid w:val="00803D39"/>
    <w:rsid w:val="00806ACB"/>
    <w:rsid w:val="00807EC7"/>
    <w:rsid w:val="00810B4E"/>
    <w:rsid w:val="0081202D"/>
    <w:rsid w:val="0081264C"/>
    <w:rsid w:val="00812C84"/>
    <w:rsid w:val="00813212"/>
    <w:rsid w:val="00816737"/>
    <w:rsid w:val="00817482"/>
    <w:rsid w:val="0081780C"/>
    <w:rsid w:val="008202D8"/>
    <w:rsid w:val="00821B43"/>
    <w:rsid w:val="00823104"/>
    <w:rsid w:val="00823546"/>
    <w:rsid w:val="00824316"/>
    <w:rsid w:val="00825A4D"/>
    <w:rsid w:val="00825DCB"/>
    <w:rsid w:val="00827468"/>
    <w:rsid w:val="008278B4"/>
    <w:rsid w:val="00830976"/>
    <w:rsid w:val="00830A68"/>
    <w:rsid w:val="0083538C"/>
    <w:rsid w:val="008379D2"/>
    <w:rsid w:val="00841072"/>
    <w:rsid w:val="00841F95"/>
    <w:rsid w:val="008421FE"/>
    <w:rsid w:val="00843D1D"/>
    <w:rsid w:val="00843EFC"/>
    <w:rsid w:val="008460F3"/>
    <w:rsid w:val="008463B1"/>
    <w:rsid w:val="00850508"/>
    <w:rsid w:val="00853D81"/>
    <w:rsid w:val="0085531B"/>
    <w:rsid w:val="008555C6"/>
    <w:rsid w:val="00855C60"/>
    <w:rsid w:val="00855D29"/>
    <w:rsid w:val="00860649"/>
    <w:rsid w:val="00860CEE"/>
    <w:rsid w:val="00861BF9"/>
    <w:rsid w:val="00862EA1"/>
    <w:rsid w:val="008631B1"/>
    <w:rsid w:val="008640BC"/>
    <w:rsid w:val="00864407"/>
    <w:rsid w:val="00865B3F"/>
    <w:rsid w:val="0086748F"/>
    <w:rsid w:val="00867810"/>
    <w:rsid w:val="00867BA2"/>
    <w:rsid w:val="00871151"/>
    <w:rsid w:val="0087302E"/>
    <w:rsid w:val="00875497"/>
    <w:rsid w:val="00875FBC"/>
    <w:rsid w:val="008804EC"/>
    <w:rsid w:val="008827B1"/>
    <w:rsid w:val="00882956"/>
    <w:rsid w:val="0088344A"/>
    <w:rsid w:val="00886AD0"/>
    <w:rsid w:val="00886B87"/>
    <w:rsid w:val="008905B9"/>
    <w:rsid w:val="0089110F"/>
    <w:rsid w:val="008941D7"/>
    <w:rsid w:val="00894746"/>
    <w:rsid w:val="008955AA"/>
    <w:rsid w:val="00895647"/>
    <w:rsid w:val="00896317"/>
    <w:rsid w:val="0089648B"/>
    <w:rsid w:val="008968AE"/>
    <w:rsid w:val="008A1363"/>
    <w:rsid w:val="008A1B06"/>
    <w:rsid w:val="008A2423"/>
    <w:rsid w:val="008A242D"/>
    <w:rsid w:val="008A2AF9"/>
    <w:rsid w:val="008A41FC"/>
    <w:rsid w:val="008A486E"/>
    <w:rsid w:val="008A4E7F"/>
    <w:rsid w:val="008A5943"/>
    <w:rsid w:val="008A5F3C"/>
    <w:rsid w:val="008A6824"/>
    <w:rsid w:val="008A778F"/>
    <w:rsid w:val="008A7BC3"/>
    <w:rsid w:val="008B002C"/>
    <w:rsid w:val="008B0858"/>
    <w:rsid w:val="008B0C5F"/>
    <w:rsid w:val="008B1DC0"/>
    <w:rsid w:val="008B277C"/>
    <w:rsid w:val="008B4B79"/>
    <w:rsid w:val="008B5E7E"/>
    <w:rsid w:val="008B7AEA"/>
    <w:rsid w:val="008B7ED9"/>
    <w:rsid w:val="008C060A"/>
    <w:rsid w:val="008C09A0"/>
    <w:rsid w:val="008C0D95"/>
    <w:rsid w:val="008C1610"/>
    <w:rsid w:val="008C18D8"/>
    <w:rsid w:val="008C1B73"/>
    <w:rsid w:val="008C2940"/>
    <w:rsid w:val="008C294A"/>
    <w:rsid w:val="008C489B"/>
    <w:rsid w:val="008C4BFE"/>
    <w:rsid w:val="008C544E"/>
    <w:rsid w:val="008C55F8"/>
    <w:rsid w:val="008C5E1C"/>
    <w:rsid w:val="008C78CD"/>
    <w:rsid w:val="008D0FCB"/>
    <w:rsid w:val="008D12B4"/>
    <w:rsid w:val="008D1482"/>
    <w:rsid w:val="008D30CA"/>
    <w:rsid w:val="008D3E5C"/>
    <w:rsid w:val="008D4071"/>
    <w:rsid w:val="008D44A4"/>
    <w:rsid w:val="008D6E01"/>
    <w:rsid w:val="008D6FBF"/>
    <w:rsid w:val="008D7A1B"/>
    <w:rsid w:val="008E0467"/>
    <w:rsid w:val="008E096A"/>
    <w:rsid w:val="008E12C7"/>
    <w:rsid w:val="008E252A"/>
    <w:rsid w:val="008E2A76"/>
    <w:rsid w:val="008E3687"/>
    <w:rsid w:val="008E3A59"/>
    <w:rsid w:val="008E4814"/>
    <w:rsid w:val="008E528F"/>
    <w:rsid w:val="008E5DE1"/>
    <w:rsid w:val="008E627E"/>
    <w:rsid w:val="008E65CD"/>
    <w:rsid w:val="008E6CEE"/>
    <w:rsid w:val="008E72D2"/>
    <w:rsid w:val="008E7E46"/>
    <w:rsid w:val="008F08A2"/>
    <w:rsid w:val="008F1669"/>
    <w:rsid w:val="008F469A"/>
    <w:rsid w:val="008F5C19"/>
    <w:rsid w:val="008F683C"/>
    <w:rsid w:val="00900499"/>
    <w:rsid w:val="00900904"/>
    <w:rsid w:val="00901D42"/>
    <w:rsid w:val="00903C6E"/>
    <w:rsid w:val="00903FC9"/>
    <w:rsid w:val="00905612"/>
    <w:rsid w:val="00905C63"/>
    <w:rsid w:val="00906A6A"/>
    <w:rsid w:val="00906BEE"/>
    <w:rsid w:val="00912ADE"/>
    <w:rsid w:val="00912D1C"/>
    <w:rsid w:val="00915A07"/>
    <w:rsid w:val="00916562"/>
    <w:rsid w:val="00916F58"/>
    <w:rsid w:val="00920D8B"/>
    <w:rsid w:val="009217DD"/>
    <w:rsid w:val="0092224C"/>
    <w:rsid w:val="0092255B"/>
    <w:rsid w:val="00925CC2"/>
    <w:rsid w:val="00925E0E"/>
    <w:rsid w:val="00926416"/>
    <w:rsid w:val="00930423"/>
    <w:rsid w:val="00930E64"/>
    <w:rsid w:val="00931969"/>
    <w:rsid w:val="009331C3"/>
    <w:rsid w:val="009350F3"/>
    <w:rsid w:val="00935FF6"/>
    <w:rsid w:val="00936273"/>
    <w:rsid w:val="009408B6"/>
    <w:rsid w:val="00942176"/>
    <w:rsid w:val="0094316E"/>
    <w:rsid w:val="009438CC"/>
    <w:rsid w:val="00943E6D"/>
    <w:rsid w:val="00946020"/>
    <w:rsid w:val="00946B75"/>
    <w:rsid w:val="00951F87"/>
    <w:rsid w:val="00952CD8"/>
    <w:rsid w:val="00953C9A"/>
    <w:rsid w:val="00955F57"/>
    <w:rsid w:val="009563B2"/>
    <w:rsid w:val="00956A91"/>
    <w:rsid w:val="00956E88"/>
    <w:rsid w:val="00960385"/>
    <w:rsid w:val="00960504"/>
    <w:rsid w:val="00962B08"/>
    <w:rsid w:val="00963E75"/>
    <w:rsid w:val="00965EEA"/>
    <w:rsid w:val="00970681"/>
    <w:rsid w:val="00971385"/>
    <w:rsid w:val="0097299C"/>
    <w:rsid w:val="00972EDA"/>
    <w:rsid w:val="00973BC6"/>
    <w:rsid w:val="009766CC"/>
    <w:rsid w:val="00976968"/>
    <w:rsid w:val="00977528"/>
    <w:rsid w:val="00980900"/>
    <w:rsid w:val="0098123C"/>
    <w:rsid w:val="00981CE2"/>
    <w:rsid w:val="0098333D"/>
    <w:rsid w:val="009854CA"/>
    <w:rsid w:val="0098558A"/>
    <w:rsid w:val="009859EA"/>
    <w:rsid w:val="00986785"/>
    <w:rsid w:val="00986861"/>
    <w:rsid w:val="009868F0"/>
    <w:rsid w:val="00987004"/>
    <w:rsid w:val="00987022"/>
    <w:rsid w:val="009875AC"/>
    <w:rsid w:val="009876E7"/>
    <w:rsid w:val="00987E51"/>
    <w:rsid w:val="009902DF"/>
    <w:rsid w:val="0099075E"/>
    <w:rsid w:val="009936A4"/>
    <w:rsid w:val="00994B8A"/>
    <w:rsid w:val="009967D4"/>
    <w:rsid w:val="009A0EC3"/>
    <w:rsid w:val="009A137A"/>
    <w:rsid w:val="009A1856"/>
    <w:rsid w:val="009A3197"/>
    <w:rsid w:val="009A3427"/>
    <w:rsid w:val="009A4839"/>
    <w:rsid w:val="009A4A47"/>
    <w:rsid w:val="009A4AE6"/>
    <w:rsid w:val="009A5292"/>
    <w:rsid w:val="009A54DA"/>
    <w:rsid w:val="009A5E42"/>
    <w:rsid w:val="009A78E5"/>
    <w:rsid w:val="009B1851"/>
    <w:rsid w:val="009B3364"/>
    <w:rsid w:val="009B4998"/>
    <w:rsid w:val="009B4CEA"/>
    <w:rsid w:val="009B57EF"/>
    <w:rsid w:val="009B62D0"/>
    <w:rsid w:val="009B7373"/>
    <w:rsid w:val="009B7920"/>
    <w:rsid w:val="009B7F4F"/>
    <w:rsid w:val="009C0FEF"/>
    <w:rsid w:val="009C21A2"/>
    <w:rsid w:val="009C2514"/>
    <w:rsid w:val="009C4DA1"/>
    <w:rsid w:val="009C61AA"/>
    <w:rsid w:val="009C6BFE"/>
    <w:rsid w:val="009C7603"/>
    <w:rsid w:val="009D1A7C"/>
    <w:rsid w:val="009D1FDB"/>
    <w:rsid w:val="009D2F50"/>
    <w:rsid w:val="009D313E"/>
    <w:rsid w:val="009D3E98"/>
    <w:rsid w:val="009D6FC7"/>
    <w:rsid w:val="009E0E8F"/>
    <w:rsid w:val="009E14A9"/>
    <w:rsid w:val="009E1837"/>
    <w:rsid w:val="009E1A90"/>
    <w:rsid w:val="009E2E5B"/>
    <w:rsid w:val="009E3F85"/>
    <w:rsid w:val="009E42E8"/>
    <w:rsid w:val="009E4CF3"/>
    <w:rsid w:val="009E5322"/>
    <w:rsid w:val="009E6454"/>
    <w:rsid w:val="009E6F4D"/>
    <w:rsid w:val="009E70AB"/>
    <w:rsid w:val="009E731F"/>
    <w:rsid w:val="009F0BFC"/>
    <w:rsid w:val="009F1509"/>
    <w:rsid w:val="009F19D1"/>
    <w:rsid w:val="009F3D00"/>
    <w:rsid w:val="009F452F"/>
    <w:rsid w:val="009F6167"/>
    <w:rsid w:val="00A02DCF"/>
    <w:rsid w:val="00A03C13"/>
    <w:rsid w:val="00A0420F"/>
    <w:rsid w:val="00A06B7A"/>
    <w:rsid w:val="00A11818"/>
    <w:rsid w:val="00A12D99"/>
    <w:rsid w:val="00A147C7"/>
    <w:rsid w:val="00A158A7"/>
    <w:rsid w:val="00A159C6"/>
    <w:rsid w:val="00A20032"/>
    <w:rsid w:val="00A2136E"/>
    <w:rsid w:val="00A22947"/>
    <w:rsid w:val="00A237B7"/>
    <w:rsid w:val="00A23BC0"/>
    <w:rsid w:val="00A24AA9"/>
    <w:rsid w:val="00A24B75"/>
    <w:rsid w:val="00A26A25"/>
    <w:rsid w:val="00A27E77"/>
    <w:rsid w:val="00A3135C"/>
    <w:rsid w:val="00A31B05"/>
    <w:rsid w:val="00A32F83"/>
    <w:rsid w:val="00A33112"/>
    <w:rsid w:val="00A33405"/>
    <w:rsid w:val="00A336B5"/>
    <w:rsid w:val="00A34357"/>
    <w:rsid w:val="00A34945"/>
    <w:rsid w:val="00A35D23"/>
    <w:rsid w:val="00A35FB3"/>
    <w:rsid w:val="00A36C9A"/>
    <w:rsid w:val="00A36EBF"/>
    <w:rsid w:val="00A37A82"/>
    <w:rsid w:val="00A37DD5"/>
    <w:rsid w:val="00A419EA"/>
    <w:rsid w:val="00A42252"/>
    <w:rsid w:val="00A452F6"/>
    <w:rsid w:val="00A465C1"/>
    <w:rsid w:val="00A509A2"/>
    <w:rsid w:val="00A510BC"/>
    <w:rsid w:val="00A511D6"/>
    <w:rsid w:val="00A516B9"/>
    <w:rsid w:val="00A51712"/>
    <w:rsid w:val="00A51D81"/>
    <w:rsid w:val="00A52B2F"/>
    <w:rsid w:val="00A52F33"/>
    <w:rsid w:val="00A53147"/>
    <w:rsid w:val="00A5401A"/>
    <w:rsid w:val="00A5554C"/>
    <w:rsid w:val="00A564AB"/>
    <w:rsid w:val="00A566A9"/>
    <w:rsid w:val="00A56B3D"/>
    <w:rsid w:val="00A626BB"/>
    <w:rsid w:val="00A63A5A"/>
    <w:rsid w:val="00A66757"/>
    <w:rsid w:val="00A66D12"/>
    <w:rsid w:val="00A672A1"/>
    <w:rsid w:val="00A676ED"/>
    <w:rsid w:val="00A709A0"/>
    <w:rsid w:val="00A70A37"/>
    <w:rsid w:val="00A70F9C"/>
    <w:rsid w:val="00A7211F"/>
    <w:rsid w:val="00A72619"/>
    <w:rsid w:val="00A728E1"/>
    <w:rsid w:val="00A72D66"/>
    <w:rsid w:val="00A735B6"/>
    <w:rsid w:val="00A73962"/>
    <w:rsid w:val="00A75358"/>
    <w:rsid w:val="00A75B16"/>
    <w:rsid w:val="00A766E4"/>
    <w:rsid w:val="00A76A29"/>
    <w:rsid w:val="00A77D1B"/>
    <w:rsid w:val="00A77EDE"/>
    <w:rsid w:val="00A77F5B"/>
    <w:rsid w:val="00A810A7"/>
    <w:rsid w:val="00A81FD0"/>
    <w:rsid w:val="00A82B2A"/>
    <w:rsid w:val="00A83BDC"/>
    <w:rsid w:val="00A868AA"/>
    <w:rsid w:val="00A87964"/>
    <w:rsid w:val="00A90CB3"/>
    <w:rsid w:val="00A90CE5"/>
    <w:rsid w:val="00A90F4C"/>
    <w:rsid w:val="00A91E83"/>
    <w:rsid w:val="00A9559B"/>
    <w:rsid w:val="00A960AA"/>
    <w:rsid w:val="00A971B5"/>
    <w:rsid w:val="00A97D7B"/>
    <w:rsid w:val="00AA07E5"/>
    <w:rsid w:val="00AA214F"/>
    <w:rsid w:val="00AA2A8C"/>
    <w:rsid w:val="00AA3074"/>
    <w:rsid w:val="00AA4596"/>
    <w:rsid w:val="00AA6646"/>
    <w:rsid w:val="00AA74F8"/>
    <w:rsid w:val="00AB05B7"/>
    <w:rsid w:val="00AB0645"/>
    <w:rsid w:val="00AB2626"/>
    <w:rsid w:val="00AB5A5A"/>
    <w:rsid w:val="00AB6853"/>
    <w:rsid w:val="00AB7761"/>
    <w:rsid w:val="00AC2665"/>
    <w:rsid w:val="00AC55D5"/>
    <w:rsid w:val="00AC5997"/>
    <w:rsid w:val="00AC59EF"/>
    <w:rsid w:val="00AC7D42"/>
    <w:rsid w:val="00AD086F"/>
    <w:rsid w:val="00AD5D2B"/>
    <w:rsid w:val="00AD67ED"/>
    <w:rsid w:val="00AD6808"/>
    <w:rsid w:val="00AD6EC2"/>
    <w:rsid w:val="00AE1807"/>
    <w:rsid w:val="00AE2282"/>
    <w:rsid w:val="00AE2EA2"/>
    <w:rsid w:val="00AE2FAC"/>
    <w:rsid w:val="00AE3B2E"/>
    <w:rsid w:val="00AE581B"/>
    <w:rsid w:val="00AE7A9D"/>
    <w:rsid w:val="00AF015B"/>
    <w:rsid w:val="00AF0357"/>
    <w:rsid w:val="00AF1CB0"/>
    <w:rsid w:val="00AF20D7"/>
    <w:rsid w:val="00AF2505"/>
    <w:rsid w:val="00AF4414"/>
    <w:rsid w:val="00AF5014"/>
    <w:rsid w:val="00AF5B7B"/>
    <w:rsid w:val="00AF5D43"/>
    <w:rsid w:val="00AF69EB"/>
    <w:rsid w:val="00AF7270"/>
    <w:rsid w:val="00B007D0"/>
    <w:rsid w:val="00B0096E"/>
    <w:rsid w:val="00B021E8"/>
    <w:rsid w:val="00B03337"/>
    <w:rsid w:val="00B038C2"/>
    <w:rsid w:val="00B03FAE"/>
    <w:rsid w:val="00B04146"/>
    <w:rsid w:val="00B068CB"/>
    <w:rsid w:val="00B06C1E"/>
    <w:rsid w:val="00B06CB6"/>
    <w:rsid w:val="00B07864"/>
    <w:rsid w:val="00B12168"/>
    <w:rsid w:val="00B13221"/>
    <w:rsid w:val="00B139B8"/>
    <w:rsid w:val="00B14118"/>
    <w:rsid w:val="00B1522E"/>
    <w:rsid w:val="00B158D0"/>
    <w:rsid w:val="00B15A4E"/>
    <w:rsid w:val="00B15EC5"/>
    <w:rsid w:val="00B1659A"/>
    <w:rsid w:val="00B171EB"/>
    <w:rsid w:val="00B201C8"/>
    <w:rsid w:val="00B20F34"/>
    <w:rsid w:val="00B2177A"/>
    <w:rsid w:val="00B21BA1"/>
    <w:rsid w:val="00B22230"/>
    <w:rsid w:val="00B222F8"/>
    <w:rsid w:val="00B2242B"/>
    <w:rsid w:val="00B22617"/>
    <w:rsid w:val="00B2381B"/>
    <w:rsid w:val="00B23985"/>
    <w:rsid w:val="00B24D08"/>
    <w:rsid w:val="00B2599F"/>
    <w:rsid w:val="00B3155B"/>
    <w:rsid w:val="00B3235D"/>
    <w:rsid w:val="00B330DF"/>
    <w:rsid w:val="00B33171"/>
    <w:rsid w:val="00B359D3"/>
    <w:rsid w:val="00B35CD9"/>
    <w:rsid w:val="00B36B80"/>
    <w:rsid w:val="00B374BF"/>
    <w:rsid w:val="00B37540"/>
    <w:rsid w:val="00B37E55"/>
    <w:rsid w:val="00B37F59"/>
    <w:rsid w:val="00B40A35"/>
    <w:rsid w:val="00B41BA9"/>
    <w:rsid w:val="00B41E28"/>
    <w:rsid w:val="00B41F48"/>
    <w:rsid w:val="00B42C0D"/>
    <w:rsid w:val="00B43F8D"/>
    <w:rsid w:val="00B45852"/>
    <w:rsid w:val="00B45E20"/>
    <w:rsid w:val="00B468A5"/>
    <w:rsid w:val="00B5049A"/>
    <w:rsid w:val="00B5248E"/>
    <w:rsid w:val="00B534D7"/>
    <w:rsid w:val="00B535CE"/>
    <w:rsid w:val="00B53A88"/>
    <w:rsid w:val="00B53DA0"/>
    <w:rsid w:val="00B53E23"/>
    <w:rsid w:val="00B54921"/>
    <w:rsid w:val="00B55701"/>
    <w:rsid w:val="00B56F73"/>
    <w:rsid w:val="00B604C3"/>
    <w:rsid w:val="00B604CD"/>
    <w:rsid w:val="00B60523"/>
    <w:rsid w:val="00B61076"/>
    <w:rsid w:val="00B655A7"/>
    <w:rsid w:val="00B65D50"/>
    <w:rsid w:val="00B65F42"/>
    <w:rsid w:val="00B678D7"/>
    <w:rsid w:val="00B67A9F"/>
    <w:rsid w:val="00B67EC4"/>
    <w:rsid w:val="00B715DF"/>
    <w:rsid w:val="00B7180C"/>
    <w:rsid w:val="00B73AA6"/>
    <w:rsid w:val="00B74C3A"/>
    <w:rsid w:val="00B75170"/>
    <w:rsid w:val="00B75205"/>
    <w:rsid w:val="00B767B6"/>
    <w:rsid w:val="00B76DDC"/>
    <w:rsid w:val="00B76EEB"/>
    <w:rsid w:val="00B77050"/>
    <w:rsid w:val="00B77CC9"/>
    <w:rsid w:val="00B8174C"/>
    <w:rsid w:val="00B82AB2"/>
    <w:rsid w:val="00B839F9"/>
    <w:rsid w:val="00B868BE"/>
    <w:rsid w:val="00B87BCA"/>
    <w:rsid w:val="00B908FD"/>
    <w:rsid w:val="00B93EF2"/>
    <w:rsid w:val="00B95A7E"/>
    <w:rsid w:val="00B96623"/>
    <w:rsid w:val="00BA058A"/>
    <w:rsid w:val="00BA0E86"/>
    <w:rsid w:val="00BA43B1"/>
    <w:rsid w:val="00BA5F2D"/>
    <w:rsid w:val="00BB0141"/>
    <w:rsid w:val="00BB0CEF"/>
    <w:rsid w:val="00BB0FCC"/>
    <w:rsid w:val="00BB11CE"/>
    <w:rsid w:val="00BB229D"/>
    <w:rsid w:val="00BB35A4"/>
    <w:rsid w:val="00BB398E"/>
    <w:rsid w:val="00BB4921"/>
    <w:rsid w:val="00BB4F30"/>
    <w:rsid w:val="00BB5335"/>
    <w:rsid w:val="00BB5A55"/>
    <w:rsid w:val="00BB675A"/>
    <w:rsid w:val="00BB7376"/>
    <w:rsid w:val="00BB7FEF"/>
    <w:rsid w:val="00BC20D2"/>
    <w:rsid w:val="00BC263D"/>
    <w:rsid w:val="00BC31CD"/>
    <w:rsid w:val="00BC3D76"/>
    <w:rsid w:val="00BC5B2A"/>
    <w:rsid w:val="00BC76C8"/>
    <w:rsid w:val="00BD0886"/>
    <w:rsid w:val="00BD08D9"/>
    <w:rsid w:val="00BD1653"/>
    <w:rsid w:val="00BD2ED4"/>
    <w:rsid w:val="00BD3D8B"/>
    <w:rsid w:val="00BD4C18"/>
    <w:rsid w:val="00BD5C36"/>
    <w:rsid w:val="00BD6510"/>
    <w:rsid w:val="00BD7062"/>
    <w:rsid w:val="00BD7A96"/>
    <w:rsid w:val="00BE2097"/>
    <w:rsid w:val="00BE3388"/>
    <w:rsid w:val="00BE4CD8"/>
    <w:rsid w:val="00BE50BE"/>
    <w:rsid w:val="00BE7141"/>
    <w:rsid w:val="00BE7B0F"/>
    <w:rsid w:val="00BF1DA4"/>
    <w:rsid w:val="00BF1F57"/>
    <w:rsid w:val="00BF1F82"/>
    <w:rsid w:val="00BF3EB2"/>
    <w:rsid w:val="00BF4020"/>
    <w:rsid w:val="00BF67BF"/>
    <w:rsid w:val="00C025AC"/>
    <w:rsid w:val="00C033D6"/>
    <w:rsid w:val="00C033F7"/>
    <w:rsid w:val="00C04242"/>
    <w:rsid w:val="00C04C4E"/>
    <w:rsid w:val="00C04FDF"/>
    <w:rsid w:val="00C063A9"/>
    <w:rsid w:val="00C06F6A"/>
    <w:rsid w:val="00C07763"/>
    <w:rsid w:val="00C07A01"/>
    <w:rsid w:val="00C07BDA"/>
    <w:rsid w:val="00C108B1"/>
    <w:rsid w:val="00C10BD1"/>
    <w:rsid w:val="00C11088"/>
    <w:rsid w:val="00C110D8"/>
    <w:rsid w:val="00C14991"/>
    <w:rsid w:val="00C1634E"/>
    <w:rsid w:val="00C164D6"/>
    <w:rsid w:val="00C16C47"/>
    <w:rsid w:val="00C16FDB"/>
    <w:rsid w:val="00C17B10"/>
    <w:rsid w:val="00C206F4"/>
    <w:rsid w:val="00C210E4"/>
    <w:rsid w:val="00C2240A"/>
    <w:rsid w:val="00C22AD3"/>
    <w:rsid w:val="00C22E9C"/>
    <w:rsid w:val="00C23724"/>
    <w:rsid w:val="00C25937"/>
    <w:rsid w:val="00C25C14"/>
    <w:rsid w:val="00C275DC"/>
    <w:rsid w:val="00C276FF"/>
    <w:rsid w:val="00C27AC8"/>
    <w:rsid w:val="00C302D6"/>
    <w:rsid w:val="00C305D2"/>
    <w:rsid w:val="00C32317"/>
    <w:rsid w:val="00C32F77"/>
    <w:rsid w:val="00C336C4"/>
    <w:rsid w:val="00C33CA7"/>
    <w:rsid w:val="00C33D9E"/>
    <w:rsid w:val="00C349CF"/>
    <w:rsid w:val="00C34B63"/>
    <w:rsid w:val="00C36250"/>
    <w:rsid w:val="00C36981"/>
    <w:rsid w:val="00C373CE"/>
    <w:rsid w:val="00C41392"/>
    <w:rsid w:val="00C41E8B"/>
    <w:rsid w:val="00C42222"/>
    <w:rsid w:val="00C427B4"/>
    <w:rsid w:val="00C42F29"/>
    <w:rsid w:val="00C46468"/>
    <w:rsid w:val="00C50BF8"/>
    <w:rsid w:val="00C51796"/>
    <w:rsid w:val="00C52F37"/>
    <w:rsid w:val="00C52FFC"/>
    <w:rsid w:val="00C53985"/>
    <w:rsid w:val="00C53FFF"/>
    <w:rsid w:val="00C54176"/>
    <w:rsid w:val="00C55BDD"/>
    <w:rsid w:val="00C55FC4"/>
    <w:rsid w:val="00C56AAC"/>
    <w:rsid w:val="00C61532"/>
    <w:rsid w:val="00C616F7"/>
    <w:rsid w:val="00C62EDF"/>
    <w:rsid w:val="00C635B4"/>
    <w:rsid w:val="00C63E8F"/>
    <w:rsid w:val="00C63F4B"/>
    <w:rsid w:val="00C65C7E"/>
    <w:rsid w:val="00C65E82"/>
    <w:rsid w:val="00C66279"/>
    <w:rsid w:val="00C66F90"/>
    <w:rsid w:val="00C67688"/>
    <w:rsid w:val="00C70271"/>
    <w:rsid w:val="00C70B70"/>
    <w:rsid w:val="00C73339"/>
    <w:rsid w:val="00C745DE"/>
    <w:rsid w:val="00C8023A"/>
    <w:rsid w:val="00C82210"/>
    <w:rsid w:val="00C82B59"/>
    <w:rsid w:val="00C8353E"/>
    <w:rsid w:val="00C835F1"/>
    <w:rsid w:val="00C85513"/>
    <w:rsid w:val="00C8647B"/>
    <w:rsid w:val="00C87EF7"/>
    <w:rsid w:val="00C915FB"/>
    <w:rsid w:val="00C9396B"/>
    <w:rsid w:val="00C945F6"/>
    <w:rsid w:val="00C95E62"/>
    <w:rsid w:val="00C9642D"/>
    <w:rsid w:val="00C96D6D"/>
    <w:rsid w:val="00C971D8"/>
    <w:rsid w:val="00C97628"/>
    <w:rsid w:val="00CA1B7E"/>
    <w:rsid w:val="00CA2E2A"/>
    <w:rsid w:val="00CA71BD"/>
    <w:rsid w:val="00CB0376"/>
    <w:rsid w:val="00CB07EE"/>
    <w:rsid w:val="00CB10C7"/>
    <w:rsid w:val="00CB14F8"/>
    <w:rsid w:val="00CB365E"/>
    <w:rsid w:val="00CB3D2B"/>
    <w:rsid w:val="00CB66A1"/>
    <w:rsid w:val="00CB6860"/>
    <w:rsid w:val="00CB6C80"/>
    <w:rsid w:val="00CB6D0E"/>
    <w:rsid w:val="00CB7AA8"/>
    <w:rsid w:val="00CB7EC5"/>
    <w:rsid w:val="00CC07E0"/>
    <w:rsid w:val="00CC0FD2"/>
    <w:rsid w:val="00CC1B36"/>
    <w:rsid w:val="00CC24AC"/>
    <w:rsid w:val="00CC319A"/>
    <w:rsid w:val="00CC40F1"/>
    <w:rsid w:val="00CC4B82"/>
    <w:rsid w:val="00CD0EC7"/>
    <w:rsid w:val="00CD20E8"/>
    <w:rsid w:val="00CD2753"/>
    <w:rsid w:val="00CD365A"/>
    <w:rsid w:val="00CD4032"/>
    <w:rsid w:val="00CD5967"/>
    <w:rsid w:val="00CE0823"/>
    <w:rsid w:val="00CE2C69"/>
    <w:rsid w:val="00CE4FA2"/>
    <w:rsid w:val="00CE68BE"/>
    <w:rsid w:val="00CF395F"/>
    <w:rsid w:val="00CF3F4E"/>
    <w:rsid w:val="00CF3FB9"/>
    <w:rsid w:val="00CF4AF7"/>
    <w:rsid w:val="00CF6011"/>
    <w:rsid w:val="00CF6F50"/>
    <w:rsid w:val="00D03676"/>
    <w:rsid w:val="00D03AE9"/>
    <w:rsid w:val="00D03C61"/>
    <w:rsid w:val="00D03DAC"/>
    <w:rsid w:val="00D04044"/>
    <w:rsid w:val="00D045A6"/>
    <w:rsid w:val="00D05D18"/>
    <w:rsid w:val="00D065D8"/>
    <w:rsid w:val="00D07BBF"/>
    <w:rsid w:val="00D100C9"/>
    <w:rsid w:val="00D1117C"/>
    <w:rsid w:val="00D1200F"/>
    <w:rsid w:val="00D125CA"/>
    <w:rsid w:val="00D14571"/>
    <w:rsid w:val="00D14F0D"/>
    <w:rsid w:val="00D152E6"/>
    <w:rsid w:val="00D1548C"/>
    <w:rsid w:val="00D167D3"/>
    <w:rsid w:val="00D169F9"/>
    <w:rsid w:val="00D215C2"/>
    <w:rsid w:val="00D2160C"/>
    <w:rsid w:val="00D21BBE"/>
    <w:rsid w:val="00D22CF6"/>
    <w:rsid w:val="00D2313C"/>
    <w:rsid w:val="00D23EE7"/>
    <w:rsid w:val="00D240FA"/>
    <w:rsid w:val="00D24C5F"/>
    <w:rsid w:val="00D26E67"/>
    <w:rsid w:val="00D26F54"/>
    <w:rsid w:val="00D27015"/>
    <w:rsid w:val="00D304E1"/>
    <w:rsid w:val="00D30D44"/>
    <w:rsid w:val="00D31886"/>
    <w:rsid w:val="00D31FD0"/>
    <w:rsid w:val="00D321D9"/>
    <w:rsid w:val="00D327B5"/>
    <w:rsid w:val="00D33267"/>
    <w:rsid w:val="00D33410"/>
    <w:rsid w:val="00D33D20"/>
    <w:rsid w:val="00D33FA4"/>
    <w:rsid w:val="00D34A20"/>
    <w:rsid w:val="00D34EAA"/>
    <w:rsid w:val="00D373CF"/>
    <w:rsid w:val="00D37413"/>
    <w:rsid w:val="00D4137C"/>
    <w:rsid w:val="00D413D4"/>
    <w:rsid w:val="00D424D5"/>
    <w:rsid w:val="00D4316E"/>
    <w:rsid w:val="00D43808"/>
    <w:rsid w:val="00D4450B"/>
    <w:rsid w:val="00D44536"/>
    <w:rsid w:val="00D445EC"/>
    <w:rsid w:val="00D476C1"/>
    <w:rsid w:val="00D4799B"/>
    <w:rsid w:val="00D50830"/>
    <w:rsid w:val="00D50B07"/>
    <w:rsid w:val="00D512E5"/>
    <w:rsid w:val="00D516BD"/>
    <w:rsid w:val="00D5555E"/>
    <w:rsid w:val="00D556B8"/>
    <w:rsid w:val="00D55C4D"/>
    <w:rsid w:val="00D60046"/>
    <w:rsid w:val="00D60FC3"/>
    <w:rsid w:val="00D619CC"/>
    <w:rsid w:val="00D62070"/>
    <w:rsid w:val="00D62F32"/>
    <w:rsid w:val="00D63B7E"/>
    <w:rsid w:val="00D63F06"/>
    <w:rsid w:val="00D6521D"/>
    <w:rsid w:val="00D65891"/>
    <w:rsid w:val="00D6641C"/>
    <w:rsid w:val="00D6643F"/>
    <w:rsid w:val="00D669F4"/>
    <w:rsid w:val="00D67DFA"/>
    <w:rsid w:val="00D70DA8"/>
    <w:rsid w:val="00D70F87"/>
    <w:rsid w:val="00D7240F"/>
    <w:rsid w:val="00D7254A"/>
    <w:rsid w:val="00D75423"/>
    <w:rsid w:val="00D75952"/>
    <w:rsid w:val="00D76750"/>
    <w:rsid w:val="00D839A5"/>
    <w:rsid w:val="00D84F62"/>
    <w:rsid w:val="00D85B00"/>
    <w:rsid w:val="00D86171"/>
    <w:rsid w:val="00D904AC"/>
    <w:rsid w:val="00D90680"/>
    <w:rsid w:val="00D90C43"/>
    <w:rsid w:val="00D92A42"/>
    <w:rsid w:val="00D9487E"/>
    <w:rsid w:val="00D9521E"/>
    <w:rsid w:val="00D96305"/>
    <w:rsid w:val="00D96764"/>
    <w:rsid w:val="00DA14FC"/>
    <w:rsid w:val="00DA4215"/>
    <w:rsid w:val="00DA44DF"/>
    <w:rsid w:val="00DA4C63"/>
    <w:rsid w:val="00DA52D7"/>
    <w:rsid w:val="00DA6312"/>
    <w:rsid w:val="00DA7E39"/>
    <w:rsid w:val="00DB1DA4"/>
    <w:rsid w:val="00DB2541"/>
    <w:rsid w:val="00DB30A0"/>
    <w:rsid w:val="00DB4C06"/>
    <w:rsid w:val="00DB57BA"/>
    <w:rsid w:val="00DB693E"/>
    <w:rsid w:val="00DB6B9F"/>
    <w:rsid w:val="00DB6D07"/>
    <w:rsid w:val="00DB79AD"/>
    <w:rsid w:val="00DC089B"/>
    <w:rsid w:val="00DC16E7"/>
    <w:rsid w:val="00DC18D6"/>
    <w:rsid w:val="00DC2A38"/>
    <w:rsid w:val="00DC39DC"/>
    <w:rsid w:val="00DC64AE"/>
    <w:rsid w:val="00DC64E5"/>
    <w:rsid w:val="00DD33FE"/>
    <w:rsid w:val="00DD3737"/>
    <w:rsid w:val="00DD3BA5"/>
    <w:rsid w:val="00DD477D"/>
    <w:rsid w:val="00DD59EE"/>
    <w:rsid w:val="00DD5F72"/>
    <w:rsid w:val="00DD696C"/>
    <w:rsid w:val="00DD71FF"/>
    <w:rsid w:val="00DD7E4C"/>
    <w:rsid w:val="00DE1611"/>
    <w:rsid w:val="00DE1673"/>
    <w:rsid w:val="00DE1F1C"/>
    <w:rsid w:val="00DE2467"/>
    <w:rsid w:val="00DE291C"/>
    <w:rsid w:val="00DE2ABF"/>
    <w:rsid w:val="00DE3040"/>
    <w:rsid w:val="00DE32D4"/>
    <w:rsid w:val="00DE3456"/>
    <w:rsid w:val="00DE46A1"/>
    <w:rsid w:val="00DE5018"/>
    <w:rsid w:val="00DE513F"/>
    <w:rsid w:val="00DE5E14"/>
    <w:rsid w:val="00DE5FFF"/>
    <w:rsid w:val="00DE6845"/>
    <w:rsid w:val="00DF19D5"/>
    <w:rsid w:val="00DF35F7"/>
    <w:rsid w:val="00DF4501"/>
    <w:rsid w:val="00DF7A10"/>
    <w:rsid w:val="00DF7B14"/>
    <w:rsid w:val="00E01071"/>
    <w:rsid w:val="00E03128"/>
    <w:rsid w:val="00E04E06"/>
    <w:rsid w:val="00E05EDD"/>
    <w:rsid w:val="00E072F1"/>
    <w:rsid w:val="00E1072E"/>
    <w:rsid w:val="00E115E6"/>
    <w:rsid w:val="00E118DF"/>
    <w:rsid w:val="00E11AAF"/>
    <w:rsid w:val="00E12125"/>
    <w:rsid w:val="00E12224"/>
    <w:rsid w:val="00E12F64"/>
    <w:rsid w:val="00E13008"/>
    <w:rsid w:val="00E15285"/>
    <w:rsid w:val="00E157FF"/>
    <w:rsid w:val="00E160C4"/>
    <w:rsid w:val="00E164DA"/>
    <w:rsid w:val="00E16A01"/>
    <w:rsid w:val="00E1727A"/>
    <w:rsid w:val="00E17873"/>
    <w:rsid w:val="00E214B3"/>
    <w:rsid w:val="00E2167B"/>
    <w:rsid w:val="00E22653"/>
    <w:rsid w:val="00E2385B"/>
    <w:rsid w:val="00E24E47"/>
    <w:rsid w:val="00E24F5B"/>
    <w:rsid w:val="00E2583D"/>
    <w:rsid w:val="00E271A9"/>
    <w:rsid w:val="00E316D7"/>
    <w:rsid w:val="00E3303D"/>
    <w:rsid w:val="00E3508B"/>
    <w:rsid w:val="00E36F96"/>
    <w:rsid w:val="00E40C4A"/>
    <w:rsid w:val="00E41FE8"/>
    <w:rsid w:val="00E4327F"/>
    <w:rsid w:val="00E45199"/>
    <w:rsid w:val="00E461CF"/>
    <w:rsid w:val="00E46694"/>
    <w:rsid w:val="00E467EE"/>
    <w:rsid w:val="00E4707E"/>
    <w:rsid w:val="00E47323"/>
    <w:rsid w:val="00E477E2"/>
    <w:rsid w:val="00E47E4F"/>
    <w:rsid w:val="00E50EAF"/>
    <w:rsid w:val="00E51363"/>
    <w:rsid w:val="00E5173D"/>
    <w:rsid w:val="00E51C12"/>
    <w:rsid w:val="00E5291A"/>
    <w:rsid w:val="00E52CA0"/>
    <w:rsid w:val="00E52E1A"/>
    <w:rsid w:val="00E52E2C"/>
    <w:rsid w:val="00E53A5A"/>
    <w:rsid w:val="00E53ACB"/>
    <w:rsid w:val="00E53C12"/>
    <w:rsid w:val="00E54E01"/>
    <w:rsid w:val="00E54F31"/>
    <w:rsid w:val="00E55575"/>
    <w:rsid w:val="00E55966"/>
    <w:rsid w:val="00E5609C"/>
    <w:rsid w:val="00E60007"/>
    <w:rsid w:val="00E60524"/>
    <w:rsid w:val="00E61005"/>
    <w:rsid w:val="00E611CB"/>
    <w:rsid w:val="00E6244C"/>
    <w:rsid w:val="00E626C9"/>
    <w:rsid w:val="00E644AD"/>
    <w:rsid w:val="00E64EE9"/>
    <w:rsid w:val="00E651A7"/>
    <w:rsid w:val="00E70C93"/>
    <w:rsid w:val="00E73B2F"/>
    <w:rsid w:val="00E75428"/>
    <w:rsid w:val="00E772B4"/>
    <w:rsid w:val="00E77874"/>
    <w:rsid w:val="00E7791A"/>
    <w:rsid w:val="00E800C3"/>
    <w:rsid w:val="00E80BB4"/>
    <w:rsid w:val="00E80CDC"/>
    <w:rsid w:val="00E814E7"/>
    <w:rsid w:val="00E81ACD"/>
    <w:rsid w:val="00E8281E"/>
    <w:rsid w:val="00E828C6"/>
    <w:rsid w:val="00E838C7"/>
    <w:rsid w:val="00E84C8E"/>
    <w:rsid w:val="00E8542A"/>
    <w:rsid w:val="00E8658D"/>
    <w:rsid w:val="00E8695B"/>
    <w:rsid w:val="00E90AC6"/>
    <w:rsid w:val="00E91B19"/>
    <w:rsid w:val="00E93F26"/>
    <w:rsid w:val="00E9507D"/>
    <w:rsid w:val="00E956E3"/>
    <w:rsid w:val="00E95CE7"/>
    <w:rsid w:val="00EA015C"/>
    <w:rsid w:val="00EA2C14"/>
    <w:rsid w:val="00EA3B64"/>
    <w:rsid w:val="00EA74F1"/>
    <w:rsid w:val="00EA7C07"/>
    <w:rsid w:val="00EA7D99"/>
    <w:rsid w:val="00EB0A17"/>
    <w:rsid w:val="00EB1967"/>
    <w:rsid w:val="00EB1E7A"/>
    <w:rsid w:val="00EB277A"/>
    <w:rsid w:val="00EB292B"/>
    <w:rsid w:val="00EB3AB1"/>
    <w:rsid w:val="00EB44AE"/>
    <w:rsid w:val="00EB7759"/>
    <w:rsid w:val="00EC4DCA"/>
    <w:rsid w:val="00EC6635"/>
    <w:rsid w:val="00EC770F"/>
    <w:rsid w:val="00EC7915"/>
    <w:rsid w:val="00ED1A1B"/>
    <w:rsid w:val="00ED2AE8"/>
    <w:rsid w:val="00ED31E1"/>
    <w:rsid w:val="00ED3941"/>
    <w:rsid w:val="00ED4540"/>
    <w:rsid w:val="00ED63D8"/>
    <w:rsid w:val="00EE02F6"/>
    <w:rsid w:val="00EE05CD"/>
    <w:rsid w:val="00EE0CDC"/>
    <w:rsid w:val="00EE131F"/>
    <w:rsid w:val="00EE2768"/>
    <w:rsid w:val="00EE3D08"/>
    <w:rsid w:val="00EE3FCA"/>
    <w:rsid w:val="00EE4017"/>
    <w:rsid w:val="00EE476A"/>
    <w:rsid w:val="00EE495F"/>
    <w:rsid w:val="00EE4E8B"/>
    <w:rsid w:val="00EE5578"/>
    <w:rsid w:val="00EE5E4A"/>
    <w:rsid w:val="00EE7B26"/>
    <w:rsid w:val="00EF1195"/>
    <w:rsid w:val="00EF2B9B"/>
    <w:rsid w:val="00EF38E9"/>
    <w:rsid w:val="00EF583C"/>
    <w:rsid w:val="00EF77FF"/>
    <w:rsid w:val="00F003F5"/>
    <w:rsid w:val="00F01914"/>
    <w:rsid w:val="00F03C3F"/>
    <w:rsid w:val="00F04571"/>
    <w:rsid w:val="00F045CD"/>
    <w:rsid w:val="00F04FD2"/>
    <w:rsid w:val="00F062C6"/>
    <w:rsid w:val="00F064E8"/>
    <w:rsid w:val="00F0687D"/>
    <w:rsid w:val="00F07179"/>
    <w:rsid w:val="00F0734E"/>
    <w:rsid w:val="00F10887"/>
    <w:rsid w:val="00F10E19"/>
    <w:rsid w:val="00F142ED"/>
    <w:rsid w:val="00F14679"/>
    <w:rsid w:val="00F1541B"/>
    <w:rsid w:val="00F170CF"/>
    <w:rsid w:val="00F17CE6"/>
    <w:rsid w:val="00F2216B"/>
    <w:rsid w:val="00F2277A"/>
    <w:rsid w:val="00F227AC"/>
    <w:rsid w:val="00F22F0E"/>
    <w:rsid w:val="00F267C2"/>
    <w:rsid w:val="00F31038"/>
    <w:rsid w:val="00F314A6"/>
    <w:rsid w:val="00F31E5B"/>
    <w:rsid w:val="00F32B0B"/>
    <w:rsid w:val="00F334D6"/>
    <w:rsid w:val="00F33B97"/>
    <w:rsid w:val="00F35600"/>
    <w:rsid w:val="00F35B7F"/>
    <w:rsid w:val="00F35B87"/>
    <w:rsid w:val="00F36508"/>
    <w:rsid w:val="00F37257"/>
    <w:rsid w:val="00F40B3A"/>
    <w:rsid w:val="00F40BCD"/>
    <w:rsid w:val="00F40EE4"/>
    <w:rsid w:val="00F429DB"/>
    <w:rsid w:val="00F434D4"/>
    <w:rsid w:val="00F43AAD"/>
    <w:rsid w:val="00F44277"/>
    <w:rsid w:val="00F453F9"/>
    <w:rsid w:val="00F45869"/>
    <w:rsid w:val="00F47EBA"/>
    <w:rsid w:val="00F50B9A"/>
    <w:rsid w:val="00F52A4E"/>
    <w:rsid w:val="00F53A41"/>
    <w:rsid w:val="00F540F4"/>
    <w:rsid w:val="00F546B3"/>
    <w:rsid w:val="00F54751"/>
    <w:rsid w:val="00F55091"/>
    <w:rsid w:val="00F6056F"/>
    <w:rsid w:val="00F61ADC"/>
    <w:rsid w:val="00F61E0F"/>
    <w:rsid w:val="00F61F79"/>
    <w:rsid w:val="00F6446A"/>
    <w:rsid w:val="00F64FCB"/>
    <w:rsid w:val="00F65B5D"/>
    <w:rsid w:val="00F700EF"/>
    <w:rsid w:val="00F71072"/>
    <w:rsid w:val="00F71EA1"/>
    <w:rsid w:val="00F733B6"/>
    <w:rsid w:val="00F74134"/>
    <w:rsid w:val="00F743E9"/>
    <w:rsid w:val="00F75622"/>
    <w:rsid w:val="00F760A9"/>
    <w:rsid w:val="00F763B3"/>
    <w:rsid w:val="00F7707F"/>
    <w:rsid w:val="00F80C3C"/>
    <w:rsid w:val="00F82E26"/>
    <w:rsid w:val="00F84677"/>
    <w:rsid w:val="00F84728"/>
    <w:rsid w:val="00F857CD"/>
    <w:rsid w:val="00F85F5C"/>
    <w:rsid w:val="00F87DC4"/>
    <w:rsid w:val="00F93485"/>
    <w:rsid w:val="00F93D81"/>
    <w:rsid w:val="00F957F0"/>
    <w:rsid w:val="00F95DEE"/>
    <w:rsid w:val="00F9667D"/>
    <w:rsid w:val="00F9688C"/>
    <w:rsid w:val="00F96D58"/>
    <w:rsid w:val="00F9749F"/>
    <w:rsid w:val="00FA087E"/>
    <w:rsid w:val="00FA096C"/>
    <w:rsid w:val="00FA0D7F"/>
    <w:rsid w:val="00FA0EB1"/>
    <w:rsid w:val="00FA11E7"/>
    <w:rsid w:val="00FA46CD"/>
    <w:rsid w:val="00FA4EAA"/>
    <w:rsid w:val="00FA6449"/>
    <w:rsid w:val="00FB0072"/>
    <w:rsid w:val="00FB02D8"/>
    <w:rsid w:val="00FB18EF"/>
    <w:rsid w:val="00FB24DD"/>
    <w:rsid w:val="00FB25A4"/>
    <w:rsid w:val="00FB2F00"/>
    <w:rsid w:val="00FB2F13"/>
    <w:rsid w:val="00FB31DD"/>
    <w:rsid w:val="00FB3D41"/>
    <w:rsid w:val="00FB4753"/>
    <w:rsid w:val="00FB4811"/>
    <w:rsid w:val="00FB6F1C"/>
    <w:rsid w:val="00FC01AC"/>
    <w:rsid w:val="00FC1421"/>
    <w:rsid w:val="00FC219C"/>
    <w:rsid w:val="00FC45CD"/>
    <w:rsid w:val="00FC4E01"/>
    <w:rsid w:val="00FC5101"/>
    <w:rsid w:val="00FC5A5C"/>
    <w:rsid w:val="00FC62A6"/>
    <w:rsid w:val="00FC6758"/>
    <w:rsid w:val="00FC70F1"/>
    <w:rsid w:val="00FC753E"/>
    <w:rsid w:val="00FC7638"/>
    <w:rsid w:val="00FC7FBA"/>
    <w:rsid w:val="00FD1BE5"/>
    <w:rsid w:val="00FD239A"/>
    <w:rsid w:val="00FD2A37"/>
    <w:rsid w:val="00FD66BB"/>
    <w:rsid w:val="00FD6799"/>
    <w:rsid w:val="00FD67FE"/>
    <w:rsid w:val="00FD7D5F"/>
    <w:rsid w:val="00FE0EFA"/>
    <w:rsid w:val="00FE1810"/>
    <w:rsid w:val="00FE333A"/>
    <w:rsid w:val="00FE3FCC"/>
    <w:rsid w:val="00FE4370"/>
    <w:rsid w:val="00FE4642"/>
    <w:rsid w:val="00FE4C3F"/>
    <w:rsid w:val="00FE5D93"/>
    <w:rsid w:val="00FF0212"/>
    <w:rsid w:val="00FF0ADD"/>
    <w:rsid w:val="00FF32C4"/>
    <w:rsid w:val="00FF38E0"/>
    <w:rsid w:val="00FF556E"/>
    <w:rsid w:val="01E4322D"/>
    <w:rsid w:val="02A90522"/>
    <w:rsid w:val="05574D46"/>
    <w:rsid w:val="05F065EE"/>
    <w:rsid w:val="07295F16"/>
    <w:rsid w:val="08AD3BAB"/>
    <w:rsid w:val="093D7E29"/>
    <w:rsid w:val="09647284"/>
    <w:rsid w:val="0A114C69"/>
    <w:rsid w:val="0D1466C9"/>
    <w:rsid w:val="0E684568"/>
    <w:rsid w:val="10F315C7"/>
    <w:rsid w:val="124C4FF4"/>
    <w:rsid w:val="154A38F2"/>
    <w:rsid w:val="1C4A30EB"/>
    <w:rsid w:val="1E176CFE"/>
    <w:rsid w:val="1E2B410F"/>
    <w:rsid w:val="1EC86515"/>
    <w:rsid w:val="21106AC9"/>
    <w:rsid w:val="27965DF0"/>
    <w:rsid w:val="27DF2BF2"/>
    <w:rsid w:val="2967011C"/>
    <w:rsid w:val="2C5C66B2"/>
    <w:rsid w:val="2EBE6B5A"/>
    <w:rsid w:val="2EBF5BF5"/>
    <w:rsid w:val="2F3E44FC"/>
    <w:rsid w:val="30276283"/>
    <w:rsid w:val="31003685"/>
    <w:rsid w:val="355F7D1B"/>
    <w:rsid w:val="358C4BE4"/>
    <w:rsid w:val="365149C2"/>
    <w:rsid w:val="373A4CA2"/>
    <w:rsid w:val="37A3499D"/>
    <w:rsid w:val="393852D7"/>
    <w:rsid w:val="3D1F38EA"/>
    <w:rsid w:val="3E0E2E1F"/>
    <w:rsid w:val="41A06600"/>
    <w:rsid w:val="453536E5"/>
    <w:rsid w:val="45442C68"/>
    <w:rsid w:val="463F77F1"/>
    <w:rsid w:val="46645425"/>
    <w:rsid w:val="46DD2938"/>
    <w:rsid w:val="489A1A00"/>
    <w:rsid w:val="494C3329"/>
    <w:rsid w:val="4B281536"/>
    <w:rsid w:val="4CF254A4"/>
    <w:rsid w:val="4D79527B"/>
    <w:rsid w:val="50653B82"/>
    <w:rsid w:val="53945E8E"/>
    <w:rsid w:val="55C90D61"/>
    <w:rsid w:val="5652610B"/>
    <w:rsid w:val="56595B2A"/>
    <w:rsid w:val="58870514"/>
    <w:rsid w:val="59AA513B"/>
    <w:rsid w:val="59DD6209"/>
    <w:rsid w:val="5A821AF4"/>
    <w:rsid w:val="5B561077"/>
    <w:rsid w:val="5CC47359"/>
    <w:rsid w:val="5CEA72EA"/>
    <w:rsid w:val="5D1E3B4F"/>
    <w:rsid w:val="5EAD0764"/>
    <w:rsid w:val="60E51541"/>
    <w:rsid w:val="611C39B7"/>
    <w:rsid w:val="61B36596"/>
    <w:rsid w:val="62654ABD"/>
    <w:rsid w:val="62A7432F"/>
    <w:rsid w:val="62E02175"/>
    <w:rsid w:val="62E93B1C"/>
    <w:rsid w:val="64ED40EE"/>
    <w:rsid w:val="6759039D"/>
    <w:rsid w:val="69DB19F1"/>
    <w:rsid w:val="6A58664E"/>
    <w:rsid w:val="6C7345BC"/>
    <w:rsid w:val="6D657FE5"/>
    <w:rsid w:val="6DFA03CE"/>
    <w:rsid w:val="6EA35C8A"/>
    <w:rsid w:val="71FA1540"/>
    <w:rsid w:val="75267E3A"/>
    <w:rsid w:val="775C4AB5"/>
    <w:rsid w:val="7ABB60A3"/>
    <w:rsid w:val="7AE476B4"/>
    <w:rsid w:val="7FFA67D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nhideWhenUsed="0" w:uiPriority="39" w:semiHidden="0"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qFormat="1" w:uiPriority="99" w:semiHidden="0" w:name="footnote text"/>
    <w:lsdException w:qFormat="1" w:uiPriority="99" w:semiHidden="0" w:name="annotation text"/>
    <w:lsdException w:qFormat="1" w:unhideWhenUsed="0" w:uiPriority="99" w:semiHidden="0" w:name="header"/>
    <w:lsdException w:qFormat="1"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qFormat="1" w:uiPriority="99" w:semiHidden="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99"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99"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iPriority="0" w:semiHidden="0" w:name="FollowedHyperlink"/>
    <w:lsdException w:qFormat="1" w:unhideWhenUsed="0" w:uiPriority="22"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qFormat="1" w:uiPriority="0" w:semiHidden="0" w:name="HTML Cite"/>
    <w:lsdException w:qFormat="1" w:uiPriority="0" w:semiHidden="0" w:name="HTML Code"/>
    <w:lsdException w:qFormat="1" w:uiPriority="0" w:semiHidden="0" w:name="HTML Definition"/>
    <w:lsdException w:qFormat="1" w:uiPriority="0" w:semiHidden="0" w:name="HTML Keyboard"/>
    <w:lsdException w:uiPriority="0" w:name="HTML Preformatted"/>
    <w:lsdException w:qFormat="1" w:uiPriority="0" w:semiHidden="0" w:name="HTML Sample"/>
    <w:lsdException w:uiPriority="0" w:name="HTML Typewriter"/>
    <w:lsdException w:qFormat="1" w:uiPriority="0" w:semiHidden="0"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qFormat="1" w:unhideWhenUsed="0" w:uiPriority="29" w:name="Quote"/>
    <w:lsdException w:qFormat="1" w:unhideWhenUsed="0" w:uiPriority="3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6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68"/>
    <w:qFormat/>
    <w:uiPriority w:val="99"/>
    <w:pPr>
      <w:keepNext/>
      <w:keepLines/>
      <w:spacing w:before="260" w:after="260" w:line="416" w:lineRule="auto"/>
      <w:outlineLvl w:val="1"/>
    </w:pPr>
    <w:rPr>
      <w:rFonts w:ascii="Cambria" w:hAnsi="Cambria" w:cs="Times New Roman"/>
      <w:b/>
      <w:bCs/>
      <w:sz w:val="32"/>
      <w:szCs w:val="32"/>
    </w:rPr>
  </w:style>
  <w:style w:type="paragraph" w:styleId="4">
    <w:name w:val="heading 3"/>
    <w:basedOn w:val="1"/>
    <w:next w:val="1"/>
    <w:link w:val="66"/>
    <w:qFormat/>
    <w:uiPriority w:val="9"/>
    <w:pPr>
      <w:keepNext/>
      <w:keepLines/>
      <w:spacing w:before="260" w:after="260" w:line="416" w:lineRule="auto"/>
      <w:outlineLvl w:val="2"/>
    </w:pPr>
    <w:rPr>
      <w:rFonts w:cs="Times New Roman"/>
      <w:b/>
      <w:bCs/>
      <w:sz w:val="32"/>
      <w:szCs w:val="32"/>
    </w:rPr>
  </w:style>
  <w:style w:type="paragraph" w:styleId="5">
    <w:name w:val="heading 4"/>
    <w:basedOn w:val="1"/>
    <w:next w:val="1"/>
    <w:link w:val="72"/>
    <w:unhideWhenUsed/>
    <w:qFormat/>
    <w:uiPriority w:val="9"/>
    <w:pPr>
      <w:keepNext/>
      <w:keepLines/>
      <w:spacing w:before="280" w:after="290" w:line="376" w:lineRule="auto"/>
      <w:outlineLvl w:val="3"/>
    </w:pPr>
    <w:rPr>
      <w:rFonts w:ascii="Cambria" w:hAnsi="Cambria" w:cs="黑体"/>
      <w:b/>
      <w:bCs/>
      <w:sz w:val="28"/>
      <w:szCs w:val="28"/>
    </w:rPr>
  </w:style>
  <w:style w:type="paragraph" w:styleId="6">
    <w:name w:val="heading 5"/>
    <w:basedOn w:val="1"/>
    <w:next w:val="1"/>
    <w:link w:val="90"/>
    <w:semiHidden/>
    <w:unhideWhenUsed/>
    <w:qFormat/>
    <w:uiPriority w:val="9"/>
    <w:pPr>
      <w:keepNext/>
      <w:keepLines/>
      <w:spacing w:before="280" w:after="290" w:line="376" w:lineRule="auto"/>
      <w:outlineLvl w:val="4"/>
    </w:pPr>
    <w:rPr>
      <w:rFonts w:ascii="Times New Roman" w:hAnsi="Times New Roman" w:cs="Times New Roman"/>
      <w:color w:val="0F4761"/>
      <w:kern w:val="0"/>
      <w:sz w:val="24"/>
      <w:szCs w:val="24"/>
    </w:rPr>
  </w:style>
  <w:style w:type="paragraph" w:styleId="7">
    <w:name w:val="heading 6"/>
    <w:basedOn w:val="1"/>
    <w:next w:val="1"/>
    <w:link w:val="91"/>
    <w:semiHidden/>
    <w:unhideWhenUsed/>
    <w:qFormat/>
    <w:uiPriority w:val="9"/>
    <w:pPr>
      <w:keepNext/>
      <w:keepLines/>
      <w:spacing w:before="240" w:after="64" w:line="320" w:lineRule="auto"/>
      <w:outlineLvl w:val="5"/>
    </w:pPr>
    <w:rPr>
      <w:rFonts w:ascii="Times New Roman" w:hAnsi="Times New Roman" w:cs="Times New Roman"/>
      <w:b/>
      <w:bCs/>
      <w:color w:val="0F4761"/>
      <w:kern w:val="0"/>
      <w:sz w:val="20"/>
      <w:szCs w:val="20"/>
    </w:rPr>
  </w:style>
  <w:style w:type="paragraph" w:styleId="8">
    <w:name w:val="heading 7"/>
    <w:basedOn w:val="1"/>
    <w:next w:val="1"/>
    <w:link w:val="92"/>
    <w:semiHidden/>
    <w:unhideWhenUsed/>
    <w:qFormat/>
    <w:uiPriority w:val="9"/>
    <w:pPr>
      <w:keepNext/>
      <w:keepLines/>
      <w:spacing w:before="240" w:after="64" w:line="320" w:lineRule="auto"/>
      <w:outlineLvl w:val="6"/>
    </w:pPr>
    <w:rPr>
      <w:rFonts w:ascii="Times New Roman" w:hAnsi="Times New Roman" w:cs="Times New Roman"/>
      <w:b/>
      <w:bCs/>
      <w:color w:val="595959"/>
      <w:kern w:val="0"/>
      <w:sz w:val="20"/>
      <w:szCs w:val="20"/>
    </w:rPr>
  </w:style>
  <w:style w:type="paragraph" w:styleId="9">
    <w:name w:val="heading 8"/>
    <w:basedOn w:val="1"/>
    <w:next w:val="1"/>
    <w:link w:val="93"/>
    <w:semiHidden/>
    <w:unhideWhenUsed/>
    <w:qFormat/>
    <w:uiPriority w:val="9"/>
    <w:pPr>
      <w:keepNext/>
      <w:keepLines/>
      <w:spacing w:before="240" w:after="64" w:line="320" w:lineRule="auto"/>
      <w:outlineLvl w:val="7"/>
    </w:pPr>
    <w:rPr>
      <w:rFonts w:ascii="Times New Roman" w:hAnsi="Times New Roman" w:cs="Times New Roman"/>
      <w:color w:val="595959"/>
      <w:kern w:val="0"/>
      <w:sz w:val="20"/>
      <w:szCs w:val="20"/>
    </w:rPr>
  </w:style>
  <w:style w:type="paragraph" w:styleId="10">
    <w:name w:val="heading 9"/>
    <w:basedOn w:val="1"/>
    <w:next w:val="1"/>
    <w:link w:val="94"/>
    <w:semiHidden/>
    <w:unhideWhenUsed/>
    <w:qFormat/>
    <w:uiPriority w:val="9"/>
    <w:pPr>
      <w:keepNext/>
      <w:keepLines/>
      <w:spacing w:before="240" w:after="64" w:line="320" w:lineRule="auto"/>
      <w:outlineLvl w:val="8"/>
    </w:pPr>
    <w:rPr>
      <w:rFonts w:ascii="Times New Roman" w:hAnsi="Times New Roman" w:eastAsia="等线 Light" w:cs="Times New Roman"/>
      <w:color w:val="595959"/>
      <w:kern w:val="0"/>
      <w:sz w:val="20"/>
      <w:szCs w:val="2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11">
    <w:name w:val="Document Map"/>
    <w:basedOn w:val="1"/>
    <w:link w:val="69"/>
    <w:semiHidden/>
    <w:qFormat/>
    <w:uiPriority w:val="99"/>
    <w:rPr>
      <w:rFonts w:ascii="宋体" w:cs="Times New Roman"/>
      <w:kern w:val="0"/>
      <w:sz w:val="18"/>
      <w:szCs w:val="18"/>
    </w:rPr>
  </w:style>
  <w:style w:type="paragraph" w:styleId="12">
    <w:name w:val="annotation text"/>
    <w:basedOn w:val="1"/>
    <w:link w:val="63"/>
    <w:unhideWhenUsed/>
    <w:qFormat/>
    <w:uiPriority w:val="99"/>
    <w:pPr>
      <w:jc w:val="left"/>
    </w:pPr>
    <w:rPr>
      <w:rFonts w:cs="Times New Roman"/>
    </w:rPr>
  </w:style>
  <w:style w:type="paragraph" w:styleId="13">
    <w:name w:val="Body Text"/>
    <w:basedOn w:val="1"/>
    <w:link w:val="73"/>
    <w:qFormat/>
    <w:uiPriority w:val="99"/>
    <w:pPr>
      <w:spacing w:after="120"/>
    </w:pPr>
    <w:rPr>
      <w:rFonts w:ascii="Times New Roman" w:hAnsi="Times New Roman" w:cs="Times New Roman"/>
      <w:szCs w:val="24"/>
    </w:rPr>
  </w:style>
  <w:style w:type="paragraph" w:styleId="14">
    <w:name w:val="toc 3"/>
    <w:basedOn w:val="1"/>
    <w:next w:val="1"/>
    <w:qFormat/>
    <w:uiPriority w:val="39"/>
    <w:pPr>
      <w:ind w:left="840" w:leftChars="400"/>
    </w:pPr>
  </w:style>
  <w:style w:type="paragraph" w:styleId="15">
    <w:name w:val="Plain Text"/>
    <w:basedOn w:val="1"/>
    <w:link w:val="70"/>
    <w:qFormat/>
    <w:uiPriority w:val="99"/>
    <w:rPr>
      <w:rFonts w:ascii="宋体" w:hAnsi="Courier New" w:cs="Times New Roman"/>
    </w:rPr>
  </w:style>
  <w:style w:type="paragraph" w:styleId="16">
    <w:name w:val="Date"/>
    <w:basedOn w:val="1"/>
    <w:next w:val="1"/>
    <w:link w:val="61"/>
    <w:qFormat/>
    <w:uiPriority w:val="99"/>
    <w:pPr>
      <w:ind w:left="100" w:leftChars="2500"/>
    </w:pPr>
  </w:style>
  <w:style w:type="paragraph" w:styleId="17">
    <w:name w:val="Balloon Text"/>
    <w:basedOn w:val="1"/>
    <w:link w:val="60"/>
    <w:qFormat/>
    <w:uiPriority w:val="99"/>
    <w:rPr>
      <w:rFonts w:cs="Times New Roman"/>
      <w:sz w:val="18"/>
      <w:szCs w:val="18"/>
    </w:rPr>
  </w:style>
  <w:style w:type="paragraph" w:styleId="18">
    <w:name w:val="footer"/>
    <w:basedOn w:val="1"/>
    <w:link w:val="64"/>
    <w:qFormat/>
    <w:uiPriority w:val="99"/>
    <w:pPr>
      <w:tabs>
        <w:tab w:val="center" w:pos="4153"/>
        <w:tab w:val="right" w:pos="8306"/>
      </w:tabs>
      <w:snapToGrid w:val="0"/>
      <w:jc w:val="left"/>
    </w:pPr>
    <w:rPr>
      <w:sz w:val="18"/>
      <w:szCs w:val="18"/>
    </w:rPr>
  </w:style>
  <w:style w:type="paragraph" w:styleId="19">
    <w:name w:val="header"/>
    <w:basedOn w:val="1"/>
    <w:link w:val="67"/>
    <w:qFormat/>
    <w:uiPriority w:val="99"/>
    <w:pPr>
      <w:pBdr>
        <w:bottom w:val="single" w:color="auto" w:sz="6" w:space="1"/>
      </w:pBdr>
      <w:tabs>
        <w:tab w:val="center" w:pos="4153"/>
        <w:tab w:val="right" w:pos="8306"/>
      </w:tabs>
      <w:snapToGrid w:val="0"/>
      <w:jc w:val="center"/>
    </w:pPr>
    <w:rPr>
      <w:rFonts w:cs="Times New Roman"/>
      <w:kern w:val="0"/>
      <w:sz w:val="18"/>
      <w:szCs w:val="18"/>
    </w:rPr>
  </w:style>
  <w:style w:type="paragraph" w:styleId="20">
    <w:name w:val="toc 1"/>
    <w:basedOn w:val="1"/>
    <w:next w:val="1"/>
    <w:unhideWhenUsed/>
    <w:qFormat/>
    <w:uiPriority w:val="39"/>
  </w:style>
  <w:style w:type="paragraph" w:styleId="21">
    <w:name w:val="Subtitle"/>
    <w:basedOn w:val="1"/>
    <w:next w:val="1"/>
    <w:link w:val="96"/>
    <w:qFormat/>
    <w:uiPriority w:val="11"/>
    <w:pPr>
      <w:spacing w:before="240" w:after="60" w:line="312" w:lineRule="auto"/>
      <w:jc w:val="center"/>
      <w:outlineLvl w:val="1"/>
    </w:pPr>
    <w:rPr>
      <w:rFonts w:ascii="等线 Light" w:hAnsi="等线 Light" w:eastAsia="等线 Light" w:cs="Times New Roman"/>
      <w:color w:val="595959"/>
      <w:spacing w:val="15"/>
      <w:kern w:val="0"/>
      <w:sz w:val="28"/>
      <w:szCs w:val="28"/>
    </w:rPr>
  </w:style>
  <w:style w:type="paragraph" w:styleId="22">
    <w:name w:val="footnote text"/>
    <w:basedOn w:val="1"/>
    <w:link w:val="81"/>
    <w:unhideWhenUsed/>
    <w:qFormat/>
    <w:uiPriority w:val="99"/>
    <w:pPr>
      <w:snapToGrid w:val="0"/>
      <w:jc w:val="left"/>
    </w:pPr>
    <w:rPr>
      <w:sz w:val="18"/>
      <w:szCs w:val="18"/>
    </w:rPr>
  </w:style>
  <w:style w:type="paragraph" w:styleId="23">
    <w:name w:val="toc 2"/>
    <w:basedOn w:val="1"/>
    <w:next w:val="1"/>
    <w:qFormat/>
    <w:uiPriority w:val="39"/>
    <w:pPr>
      <w:ind w:left="420" w:leftChars="200"/>
    </w:pPr>
  </w:style>
  <w:style w:type="paragraph" w:styleId="24">
    <w:name w:val="Normal (Web)"/>
    <w:basedOn w:val="1"/>
    <w:qFormat/>
    <w:uiPriority w:val="99"/>
    <w:pPr>
      <w:widowControl/>
      <w:spacing w:before="100" w:beforeAutospacing="1" w:after="100" w:afterAutospacing="1" w:line="330" w:lineRule="atLeast"/>
      <w:jc w:val="left"/>
    </w:pPr>
    <w:rPr>
      <w:rFonts w:ascii="宋体" w:hAnsi="宋体" w:cs="宋体"/>
      <w:kern w:val="0"/>
      <w:sz w:val="22"/>
      <w:szCs w:val="22"/>
    </w:rPr>
  </w:style>
  <w:style w:type="paragraph" w:styleId="25">
    <w:name w:val="Title"/>
    <w:basedOn w:val="1"/>
    <w:next w:val="1"/>
    <w:link w:val="95"/>
    <w:qFormat/>
    <w:uiPriority w:val="10"/>
    <w:pPr>
      <w:spacing w:before="240" w:after="60"/>
      <w:jc w:val="center"/>
      <w:outlineLvl w:val="0"/>
    </w:pPr>
    <w:rPr>
      <w:rFonts w:ascii="等线 Light" w:hAnsi="等线 Light" w:eastAsia="等线 Light" w:cs="Times New Roman"/>
      <w:spacing w:val="-10"/>
      <w:kern w:val="28"/>
      <w:sz w:val="56"/>
      <w:szCs w:val="56"/>
    </w:rPr>
  </w:style>
  <w:style w:type="paragraph" w:styleId="26">
    <w:name w:val="annotation subject"/>
    <w:basedOn w:val="12"/>
    <w:next w:val="12"/>
    <w:link w:val="62"/>
    <w:semiHidden/>
    <w:qFormat/>
    <w:uiPriority w:val="99"/>
    <w:rPr>
      <w:b/>
      <w:bCs/>
    </w:rPr>
  </w:style>
  <w:style w:type="table" w:styleId="28">
    <w:name w:val="Table Grid"/>
    <w:basedOn w:val="2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0">
    <w:name w:val="Strong"/>
    <w:qFormat/>
    <w:uiPriority w:val="22"/>
    <w:rPr>
      <w:b/>
      <w:bCs/>
    </w:rPr>
  </w:style>
  <w:style w:type="character" w:styleId="31">
    <w:name w:val="page number"/>
    <w:basedOn w:val="29"/>
    <w:qFormat/>
    <w:uiPriority w:val="0"/>
  </w:style>
  <w:style w:type="character" w:styleId="32">
    <w:name w:val="FollowedHyperlink"/>
    <w:basedOn w:val="29"/>
    <w:unhideWhenUsed/>
    <w:qFormat/>
    <w:uiPriority w:val="0"/>
    <w:rPr>
      <w:color w:val="338DE6"/>
      <w:u w:val="none"/>
    </w:rPr>
  </w:style>
  <w:style w:type="character" w:styleId="33">
    <w:name w:val="Emphasis"/>
    <w:basedOn w:val="29"/>
    <w:qFormat/>
    <w:uiPriority w:val="20"/>
    <w:rPr>
      <w:i/>
      <w:iCs/>
    </w:rPr>
  </w:style>
  <w:style w:type="character" w:styleId="34">
    <w:name w:val="HTML Definition"/>
    <w:basedOn w:val="29"/>
    <w:unhideWhenUsed/>
    <w:qFormat/>
    <w:uiPriority w:val="0"/>
  </w:style>
  <w:style w:type="character" w:styleId="35">
    <w:name w:val="HTML Variable"/>
    <w:basedOn w:val="29"/>
    <w:unhideWhenUsed/>
    <w:qFormat/>
    <w:uiPriority w:val="0"/>
  </w:style>
  <w:style w:type="character" w:styleId="36">
    <w:name w:val="Hyperlink"/>
    <w:basedOn w:val="29"/>
    <w:qFormat/>
    <w:uiPriority w:val="99"/>
    <w:rPr>
      <w:color w:val="338DE6"/>
      <w:u w:val="none"/>
    </w:rPr>
  </w:style>
  <w:style w:type="character" w:styleId="37">
    <w:name w:val="HTML Code"/>
    <w:basedOn w:val="29"/>
    <w:unhideWhenUsed/>
    <w:qFormat/>
    <w:uiPriority w:val="0"/>
    <w:rPr>
      <w:rFonts w:hint="default" w:ascii="monospace" w:hAnsi="monospace" w:eastAsia="monospace" w:cs="monospace"/>
      <w:sz w:val="21"/>
      <w:szCs w:val="21"/>
    </w:rPr>
  </w:style>
  <w:style w:type="character" w:styleId="38">
    <w:name w:val="annotation reference"/>
    <w:qFormat/>
    <w:uiPriority w:val="99"/>
    <w:rPr>
      <w:sz w:val="21"/>
      <w:szCs w:val="21"/>
    </w:rPr>
  </w:style>
  <w:style w:type="character" w:styleId="39">
    <w:name w:val="HTML Cite"/>
    <w:basedOn w:val="29"/>
    <w:unhideWhenUsed/>
    <w:qFormat/>
    <w:uiPriority w:val="0"/>
  </w:style>
  <w:style w:type="character" w:styleId="40">
    <w:name w:val="footnote reference"/>
    <w:basedOn w:val="29"/>
    <w:unhideWhenUsed/>
    <w:qFormat/>
    <w:uiPriority w:val="99"/>
    <w:rPr>
      <w:vertAlign w:val="superscript"/>
    </w:rPr>
  </w:style>
  <w:style w:type="character" w:styleId="41">
    <w:name w:val="HTML Keyboard"/>
    <w:basedOn w:val="29"/>
    <w:unhideWhenUsed/>
    <w:qFormat/>
    <w:uiPriority w:val="0"/>
    <w:rPr>
      <w:rFonts w:hint="default" w:ascii="monospace" w:hAnsi="monospace" w:eastAsia="monospace" w:cs="monospace"/>
      <w:sz w:val="21"/>
      <w:szCs w:val="21"/>
    </w:rPr>
  </w:style>
  <w:style w:type="character" w:styleId="42">
    <w:name w:val="HTML Sample"/>
    <w:basedOn w:val="29"/>
    <w:unhideWhenUsed/>
    <w:qFormat/>
    <w:uiPriority w:val="0"/>
    <w:rPr>
      <w:rFonts w:ascii="monospace" w:hAnsi="monospace" w:eastAsia="monospace" w:cs="monospace"/>
      <w:sz w:val="21"/>
      <w:szCs w:val="21"/>
    </w:rPr>
  </w:style>
  <w:style w:type="character" w:customStyle="1" w:styleId="43">
    <w:name w:val="页脚 Char"/>
    <w:qFormat/>
    <w:uiPriority w:val="0"/>
    <w:rPr>
      <w:rFonts w:eastAsia="宋体"/>
      <w:kern w:val="2"/>
      <w:sz w:val="18"/>
      <w:szCs w:val="18"/>
      <w:lang w:val="en-US" w:eastAsia="zh-CN" w:bidi="ar-SA"/>
    </w:rPr>
  </w:style>
  <w:style w:type="paragraph" w:customStyle="1" w:styleId="44">
    <w:name w:val="TOC 标题1"/>
    <w:basedOn w:val="2"/>
    <w:next w:val="1"/>
    <w:unhideWhenUsed/>
    <w:qFormat/>
    <w:uiPriority w:val="39"/>
    <w:pPr>
      <w:widowControl/>
      <w:spacing w:before="240" w:after="0" w:line="259" w:lineRule="auto"/>
      <w:jc w:val="left"/>
      <w:outlineLvl w:val="9"/>
    </w:pPr>
    <w:rPr>
      <w:rFonts w:ascii="Cambria" w:hAnsi="Cambria" w:cs="黑体"/>
      <w:b w:val="0"/>
      <w:bCs w:val="0"/>
      <w:color w:val="365F90"/>
      <w:kern w:val="0"/>
      <w:sz w:val="32"/>
      <w:szCs w:val="32"/>
    </w:rPr>
  </w:style>
  <w:style w:type="paragraph" w:customStyle="1" w:styleId="45">
    <w:name w:val="表"/>
    <w:basedOn w:val="1"/>
    <w:qFormat/>
    <w:uiPriority w:val="0"/>
    <w:pPr>
      <w:spacing w:line="300" w:lineRule="auto"/>
      <w:jc w:val="center"/>
    </w:pPr>
    <w:rPr>
      <w:rFonts w:ascii="Times New Roman" w:hAnsi="Times New Roman" w:cs="Times New Roman"/>
      <w:bCs/>
    </w:rPr>
  </w:style>
  <w:style w:type="paragraph" w:customStyle="1" w:styleId="46">
    <w:name w:val="列出段落4"/>
    <w:basedOn w:val="1"/>
    <w:qFormat/>
    <w:uiPriority w:val="99"/>
    <w:pPr>
      <w:ind w:firstLine="420" w:firstLineChars="200"/>
    </w:pPr>
  </w:style>
  <w:style w:type="paragraph" w:customStyle="1" w:styleId="47">
    <w:name w:val="列出段落5"/>
    <w:basedOn w:val="1"/>
    <w:qFormat/>
    <w:uiPriority w:val="99"/>
    <w:pPr>
      <w:ind w:firstLine="420" w:firstLineChars="200"/>
    </w:pPr>
  </w:style>
  <w:style w:type="paragraph" w:customStyle="1" w:styleId="48">
    <w:name w:val="列出段落2"/>
    <w:basedOn w:val="1"/>
    <w:qFormat/>
    <w:uiPriority w:val="34"/>
    <w:pPr>
      <w:ind w:firstLine="420" w:firstLineChars="200"/>
    </w:pPr>
  </w:style>
  <w:style w:type="paragraph" w:customStyle="1" w:styleId="49">
    <w:name w:val="List Paragraph1"/>
    <w:basedOn w:val="1"/>
    <w:qFormat/>
    <w:uiPriority w:val="99"/>
    <w:pPr>
      <w:ind w:firstLine="420" w:firstLineChars="200"/>
    </w:pPr>
  </w:style>
  <w:style w:type="paragraph" w:customStyle="1" w:styleId="50">
    <w:name w:val="List Paragraph2"/>
    <w:basedOn w:val="1"/>
    <w:qFormat/>
    <w:uiPriority w:val="99"/>
    <w:pPr>
      <w:ind w:firstLine="420" w:firstLineChars="200"/>
    </w:pPr>
  </w:style>
  <w:style w:type="paragraph" w:customStyle="1" w:styleId="51">
    <w:name w:val="列出段落1"/>
    <w:basedOn w:val="1"/>
    <w:qFormat/>
    <w:uiPriority w:val="99"/>
    <w:pPr>
      <w:ind w:firstLine="420" w:firstLineChars="200"/>
    </w:pPr>
  </w:style>
  <w:style w:type="paragraph" w:customStyle="1" w:styleId="52">
    <w:name w:val="p0"/>
    <w:basedOn w:val="1"/>
    <w:qFormat/>
    <w:uiPriority w:val="0"/>
    <w:pPr>
      <w:widowControl/>
    </w:pPr>
    <w:rPr>
      <w:rFonts w:cs="宋体"/>
      <w:kern w:val="0"/>
    </w:rPr>
  </w:style>
  <w:style w:type="paragraph" w:customStyle="1" w:styleId="53">
    <w:name w:val="列出段落3"/>
    <w:basedOn w:val="1"/>
    <w:qFormat/>
    <w:uiPriority w:val="99"/>
    <w:pPr>
      <w:ind w:firstLine="420" w:firstLineChars="200"/>
    </w:pPr>
  </w:style>
  <w:style w:type="paragraph" w:customStyle="1" w:styleId="54">
    <w:name w:val="列出段落6"/>
    <w:basedOn w:val="1"/>
    <w:qFormat/>
    <w:uiPriority w:val="34"/>
    <w:pPr>
      <w:ind w:firstLine="420" w:firstLineChars="200"/>
    </w:pPr>
  </w:style>
  <w:style w:type="paragraph" w:customStyle="1" w:styleId="55">
    <w:name w:val="章"/>
    <w:basedOn w:val="1"/>
    <w:qFormat/>
    <w:uiPriority w:val="0"/>
    <w:pPr>
      <w:spacing w:beforeLines="100" w:afterLines="100" w:line="300" w:lineRule="auto"/>
      <w:jc w:val="center"/>
      <w:outlineLvl w:val="0"/>
    </w:pPr>
    <w:rPr>
      <w:rFonts w:ascii="Times New Roman" w:hAnsi="Times New Roman" w:cs="Times New Roman"/>
      <w:b/>
      <w:bCs/>
      <w:sz w:val="28"/>
      <w:szCs w:val="28"/>
    </w:rPr>
  </w:style>
  <w:style w:type="paragraph" w:customStyle="1" w:styleId="56">
    <w:name w:val="Default"/>
    <w:qFormat/>
    <w:uiPriority w:val="0"/>
    <w:pPr>
      <w:widowControl w:val="0"/>
      <w:autoSpaceDE w:val="0"/>
      <w:autoSpaceDN w:val="0"/>
      <w:adjustRightInd w:val="0"/>
    </w:pPr>
    <w:rPr>
      <w:rFonts w:ascii="宋体" w:eastAsia="宋体" w:cs="宋体" w:hAnsiTheme="minorHAnsi"/>
      <w:color w:val="000000"/>
      <w:kern w:val="2"/>
      <w:sz w:val="24"/>
      <w:szCs w:val="24"/>
      <w:lang w:val="en-US" w:eastAsia="zh-CN" w:bidi="ar-SA"/>
    </w:rPr>
  </w:style>
  <w:style w:type="paragraph" w:customStyle="1" w:styleId="57">
    <w:name w:val="书稿正文"/>
    <w:basedOn w:val="1"/>
    <w:qFormat/>
    <w:uiPriority w:val="0"/>
    <w:pPr>
      <w:spacing w:line="400" w:lineRule="exact"/>
      <w:ind w:firstLine="420"/>
    </w:pPr>
    <w:rPr>
      <w:rFonts w:hint="eastAsia" w:cs="宋体"/>
      <w:kern w:val="0"/>
      <w:szCs w:val="20"/>
    </w:rPr>
  </w:style>
  <w:style w:type="paragraph" w:customStyle="1" w:styleId="58">
    <w:name w:val="修订1"/>
    <w:hidden/>
    <w:semiHidden/>
    <w:qFormat/>
    <w:uiPriority w:val="99"/>
    <w:rPr>
      <w:rFonts w:ascii="Calibri" w:hAnsi="Calibri" w:eastAsia="宋体" w:cs="Calibri"/>
      <w:kern w:val="2"/>
      <w:sz w:val="21"/>
      <w:szCs w:val="21"/>
      <w:lang w:val="en-US" w:eastAsia="zh-CN" w:bidi="ar-SA"/>
    </w:rPr>
  </w:style>
  <w:style w:type="paragraph" w:customStyle="1" w:styleId="59">
    <w:name w:val="列出段落61"/>
    <w:basedOn w:val="1"/>
    <w:qFormat/>
    <w:uiPriority w:val="34"/>
    <w:pPr>
      <w:ind w:firstLine="420" w:firstLineChars="200"/>
    </w:pPr>
  </w:style>
  <w:style w:type="character" w:customStyle="1" w:styleId="60">
    <w:name w:val="批注框文本 Char"/>
    <w:basedOn w:val="29"/>
    <w:link w:val="17"/>
    <w:qFormat/>
    <w:uiPriority w:val="99"/>
    <w:rPr>
      <w:rFonts w:ascii="Calibri" w:hAnsi="Calibri" w:eastAsia="宋体" w:cs="Times New Roman"/>
      <w:sz w:val="18"/>
      <w:szCs w:val="18"/>
    </w:rPr>
  </w:style>
  <w:style w:type="character" w:customStyle="1" w:styleId="61">
    <w:name w:val="日期 Char"/>
    <w:basedOn w:val="29"/>
    <w:link w:val="16"/>
    <w:qFormat/>
    <w:uiPriority w:val="99"/>
    <w:rPr>
      <w:rFonts w:ascii="Calibri" w:hAnsi="Calibri" w:eastAsia="宋体" w:cs="Calibri"/>
      <w:szCs w:val="21"/>
    </w:rPr>
  </w:style>
  <w:style w:type="character" w:customStyle="1" w:styleId="62">
    <w:name w:val="批注主题 Char"/>
    <w:basedOn w:val="63"/>
    <w:link w:val="26"/>
    <w:qFormat/>
    <w:uiPriority w:val="99"/>
    <w:rPr>
      <w:rFonts w:ascii="Calibri" w:hAnsi="Calibri" w:eastAsia="宋体" w:cs="Times New Roman"/>
      <w:b/>
      <w:bCs/>
      <w:szCs w:val="21"/>
    </w:rPr>
  </w:style>
  <w:style w:type="character" w:customStyle="1" w:styleId="63">
    <w:name w:val="批注文字 Char"/>
    <w:basedOn w:val="29"/>
    <w:link w:val="12"/>
    <w:qFormat/>
    <w:uiPriority w:val="99"/>
    <w:rPr>
      <w:rFonts w:ascii="Calibri" w:hAnsi="Calibri" w:eastAsia="宋体" w:cs="Calibri"/>
      <w:szCs w:val="21"/>
    </w:rPr>
  </w:style>
  <w:style w:type="character" w:customStyle="1" w:styleId="64">
    <w:name w:val="页脚 Char1"/>
    <w:basedOn w:val="29"/>
    <w:link w:val="18"/>
    <w:qFormat/>
    <w:uiPriority w:val="99"/>
    <w:rPr>
      <w:rFonts w:ascii="Calibri" w:hAnsi="Calibri" w:eastAsia="宋体" w:cs="Times New Roman"/>
      <w:kern w:val="0"/>
      <w:sz w:val="18"/>
      <w:szCs w:val="18"/>
    </w:rPr>
  </w:style>
  <w:style w:type="character" w:customStyle="1" w:styleId="65">
    <w:name w:val="标题 1 Char"/>
    <w:basedOn w:val="29"/>
    <w:link w:val="2"/>
    <w:qFormat/>
    <w:uiPriority w:val="9"/>
    <w:rPr>
      <w:b/>
      <w:bCs/>
      <w:kern w:val="44"/>
      <w:sz w:val="44"/>
      <w:szCs w:val="44"/>
    </w:rPr>
  </w:style>
  <w:style w:type="character" w:customStyle="1" w:styleId="66">
    <w:name w:val="标题 3 Char"/>
    <w:basedOn w:val="29"/>
    <w:link w:val="4"/>
    <w:qFormat/>
    <w:uiPriority w:val="9"/>
    <w:rPr>
      <w:rFonts w:ascii="Calibri" w:hAnsi="Calibri" w:eastAsia="宋体" w:cs="Times New Roman"/>
      <w:b/>
      <w:bCs/>
      <w:sz w:val="32"/>
      <w:szCs w:val="32"/>
    </w:rPr>
  </w:style>
  <w:style w:type="character" w:customStyle="1" w:styleId="67">
    <w:name w:val="页眉 Char"/>
    <w:basedOn w:val="29"/>
    <w:link w:val="19"/>
    <w:qFormat/>
    <w:uiPriority w:val="99"/>
    <w:rPr>
      <w:rFonts w:ascii="Calibri" w:hAnsi="Calibri" w:eastAsia="宋体" w:cs="Times New Roman"/>
      <w:kern w:val="0"/>
      <w:sz w:val="18"/>
      <w:szCs w:val="18"/>
    </w:rPr>
  </w:style>
  <w:style w:type="character" w:customStyle="1" w:styleId="68">
    <w:name w:val="标题 2 Char"/>
    <w:basedOn w:val="29"/>
    <w:link w:val="3"/>
    <w:qFormat/>
    <w:uiPriority w:val="99"/>
    <w:rPr>
      <w:rFonts w:ascii="Cambria" w:hAnsi="Cambria" w:eastAsia="宋体" w:cs="Times New Roman"/>
      <w:b/>
      <w:bCs/>
      <w:sz w:val="32"/>
      <w:szCs w:val="32"/>
    </w:rPr>
  </w:style>
  <w:style w:type="character" w:customStyle="1" w:styleId="69">
    <w:name w:val="文档结构图 Char"/>
    <w:basedOn w:val="29"/>
    <w:link w:val="11"/>
    <w:qFormat/>
    <w:uiPriority w:val="99"/>
    <w:rPr>
      <w:rFonts w:ascii="宋体" w:hAnsi="Calibri" w:eastAsia="宋体" w:cs="Times New Roman"/>
      <w:kern w:val="0"/>
      <w:sz w:val="18"/>
      <w:szCs w:val="18"/>
    </w:rPr>
  </w:style>
  <w:style w:type="character" w:customStyle="1" w:styleId="70">
    <w:name w:val="纯文本 Char"/>
    <w:basedOn w:val="29"/>
    <w:link w:val="15"/>
    <w:qFormat/>
    <w:uiPriority w:val="99"/>
    <w:rPr>
      <w:rFonts w:ascii="宋体" w:hAnsi="Courier New" w:eastAsia="宋体" w:cs="Times New Roman"/>
      <w:szCs w:val="21"/>
    </w:rPr>
  </w:style>
  <w:style w:type="character" w:customStyle="1" w:styleId="71">
    <w:name w:val="Char Char1"/>
    <w:qFormat/>
    <w:uiPriority w:val="99"/>
    <w:rPr>
      <w:kern w:val="2"/>
      <w:sz w:val="18"/>
      <w:szCs w:val="18"/>
    </w:rPr>
  </w:style>
  <w:style w:type="character" w:customStyle="1" w:styleId="72">
    <w:name w:val="标题 4 Char"/>
    <w:basedOn w:val="29"/>
    <w:link w:val="5"/>
    <w:qFormat/>
    <w:uiPriority w:val="9"/>
    <w:rPr>
      <w:rFonts w:ascii="Cambria" w:hAnsi="Cambria" w:eastAsia="宋体" w:cs="黑体"/>
      <w:b/>
      <w:bCs/>
      <w:kern w:val="2"/>
      <w:sz w:val="28"/>
      <w:szCs w:val="28"/>
    </w:rPr>
  </w:style>
  <w:style w:type="character" w:customStyle="1" w:styleId="73">
    <w:name w:val="正文文本 Char"/>
    <w:basedOn w:val="29"/>
    <w:link w:val="13"/>
    <w:qFormat/>
    <w:uiPriority w:val="99"/>
    <w:rPr>
      <w:kern w:val="2"/>
      <w:sz w:val="21"/>
      <w:szCs w:val="24"/>
    </w:rPr>
  </w:style>
  <w:style w:type="paragraph" w:customStyle="1" w:styleId="74">
    <w:name w:val="列出段落7"/>
    <w:basedOn w:val="1"/>
    <w:qFormat/>
    <w:uiPriority w:val="34"/>
    <w:pPr>
      <w:ind w:firstLine="420" w:firstLineChars="200"/>
    </w:pPr>
  </w:style>
  <w:style w:type="paragraph" w:customStyle="1" w:styleId="75">
    <w:name w:val="修订2"/>
    <w:hidden/>
    <w:unhideWhenUsed/>
    <w:qFormat/>
    <w:uiPriority w:val="99"/>
    <w:rPr>
      <w:rFonts w:ascii="Calibri" w:hAnsi="Calibri" w:eastAsia="宋体" w:cs="Calibri"/>
      <w:kern w:val="2"/>
      <w:sz w:val="21"/>
      <w:szCs w:val="21"/>
      <w:lang w:val="en-US" w:eastAsia="zh-CN" w:bidi="ar-SA"/>
    </w:rPr>
  </w:style>
  <w:style w:type="paragraph" w:styleId="76">
    <w:name w:val="List Paragraph"/>
    <w:basedOn w:val="1"/>
    <w:unhideWhenUsed/>
    <w:qFormat/>
    <w:uiPriority w:val="34"/>
    <w:pPr>
      <w:ind w:firstLine="420" w:firstLineChars="200"/>
    </w:pPr>
  </w:style>
  <w:style w:type="paragraph" w:customStyle="1" w:styleId="77">
    <w:name w:val="修订版本号1"/>
    <w:hidden/>
    <w:semiHidden/>
    <w:qFormat/>
    <w:uiPriority w:val="99"/>
    <w:rPr>
      <w:rFonts w:ascii="Calibri" w:hAnsi="Calibri" w:eastAsia="宋体" w:cs="Calibri"/>
      <w:kern w:val="2"/>
      <w:sz w:val="21"/>
      <w:szCs w:val="21"/>
      <w:lang w:val="en-US" w:eastAsia="zh-CN" w:bidi="ar-SA"/>
    </w:rPr>
  </w:style>
  <w:style w:type="character" w:customStyle="1" w:styleId="78">
    <w:name w:val="fontstrikethrough"/>
    <w:basedOn w:val="29"/>
    <w:qFormat/>
    <w:uiPriority w:val="0"/>
    <w:rPr>
      <w:u w:val="single"/>
    </w:rPr>
  </w:style>
  <w:style w:type="character" w:customStyle="1" w:styleId="79">
    <w:name w:val="fontborder"/>
    <w:basedOn w:val="29"/>
    <w:qFormat/>
    <w:uiPriority w:val="0"/>
    <w:rPr>
      <w:bdr w:val="single" w:color="000000" w:sz="6" w:space="0"/>
    </w:rPr>
  </w:style>
  <w:style w:type="paragraph" w:customStyle="1" w:styleId="80">
    <w:name w:val="修订3"/>
    <w:hidden/>
    <w:qFormat/>
    <w:uiPriority w:val="99"/>
    <w:rPr>
      <w:rFonts w:ascii="Calibri" w:hAnsi="Calibri" w:eastAsia="宋体" w:cs="Calibri"/>
      <w:kern w:val="2"/>
      <w:sz w:val="21"/>
      <w:szCs w:val="21"/>
      <w:lang w:val="en-US" w:eastAsia="zh-CN" w:bidi="ar-SA"/>
    </w:rPr>
  </w:style>
  <w:style w:type="character" w:customStyle="1" w:styleId="81">
    <w:name w:val="脚注文本 Char"/>
    <w:basedOn w:val="29"/>
    <w:link w:val="22"/>
    <w:semiHidden/>
    <w:qFormat/>
    <w:uiPriority w:val="99"/>
    <w:rPr>
      <w:rFonts w:ascii="Calibri" w:hAnsi="Calibri" w:cs="Calibri"/>
      <w:kern w:val="2"/>
      <w:sz w:val="18"/>
      <w:szCs w:val="18"/>
    </w:rPr>
  </w:style>
  <w:style w:type="paragraph" w:customStyle="1" w:styleId="82">
    <w:name w:val="修订4"/>
    <w:hidden/>
    <w:unhideWhenUsed/>
    <w:qFormat/>
    <w:uiPriority w:val="99"/>
    <w:rPr>
      <w:rFonts w:ascii="Calibri" w:hAnsi="Calibri" w:eastAsia="宋体" w:cs="Calibri"/>
      <w:kern w:val="2"/>
      <w:sz w:val="21"/>
      <w:szCs w:val="21"/>
      <w:lang w:val="en-US" w:eastAsia="zh-CN" w:bidi="ar-SA"/>
    </w:rPr>
  </w:style>
  <w:style w:type="paragraph" w:customStyle="1" w:styleId="83">
    <w:name w:val="标题 51"/>
    <w:basedOn w:val="1"/>
    <w:next w:val="1"/>
    <w:semiHidden/>
    <w:unhideWhenUsed/>
    <w:qFormat/>
    <w:uiPriority w:val="9"/>
    <w:pPr>
      <w:keepNext/>
      <w:keepLines/>
      <w:spacing w:before="80" w:after="40" w:line="278" w:lineRule="auto"/>
      <w:outlineLvl w:val="4"/>
    </w:pPr>
    <w:rPr>
      <w:rFonts w:ascii="等线" w:hAnsi="等线" w:eastAsia="等线" w:cs="Times New Roman"/>
      <w:color w:val="0F4761"/>
      <w:sz w:val="24"/>
      <w:szCs w:val="24"/>
    </w:rPr>
  </w:style>
  <w:style w:type="paragraph" w:customStyle="1" w:styleId="84">
    <w:name w:val="标题 61"/>
    <w:basedOn w:val="1"/>
    <w:next w:val="1"/>
    <w:semiHidden/>
    <w:unhideWhenUsed/>
    <w:qFormat/>
    <w:uiPriority w:val="9"/>
    <w:pPr>
      <w:keepNext/>
      <w:keepLines/>
      <w:spacing w:before="40" w:after="160" w:line="278" w:lineRule="auto"/>
      <w:outlineLvl w:val="5"/>
    </w:pPr>
    <w:rPr>
      <w:rFonts w:ascii="等线" w:hAnsi="等线" w:eastAsia="等线" w:cs="Times New Roman"/>
      <w:b/>
      <w:bCs/>
      <w:color w:val="0F4761"/>
      <w:szCs w:val="22"/>
    </w:rPr>
  </w:style>
  <w:style w:type="paragraph" w:customStyle="1" w:styleId="85">
    <w:name w:val="标题 71"/>
    <w:basedOn w:val="1"/>
    <w:next w:val="1"/>
    <w:semiHidden/>
    <w:unhideWhenUsed/>
    <w:qFormat/>
    <w:uiPriority w:val="9"/>
    <w:pPr>
      <w:keepNext/>
      <w:keepLines/>
      <w:spacing w:before="40" w:after="160" w:line="278" w:lineRule="auto"/>
      <w:outlineLvl w:val="6"/>
    </w:pPr>
    <w:rPr>
      <w:rFonts w:ascii="等线" w:hAnsi="等线" w:eastAsia="等线" w:cs="Times New Roman"/>
      <w:b/>
      <w:bCs/>
      <w:color w:val="595959"/>
      <w:szCs w:val="22"/>
    </w:rPr>
  </w:style>
  <w:style w:type="paragraph" w:customStyle="1" w:styleId="86">
    <w:name w:val="标题 81"/>
    <w:basedOn w:val="1"/>
    <w:next w:val="1"/>
    <w:semiHidden/>
    <w:unhideWhenUsed/>
    <w:qFormat/>
    <w:uiPriority w:val="9"/>
    <w:pPr>
      <w:keepNext/>
      <w:keepLines/>
      <w:spacing w:after="160" w:line="278" w:lineRule="auto"/>
      <w:outlineLvl w:val="7"/>
    </w:pPr>
    <w:rPr>
      <w:rFonts w:ascii="等线" w:hAnsi="等线" w:eastAsia="等线" w:cs="Times New Roman"/>
      <w:color w:val="595959"/>
      <w:szCs w:val="22"/>
    </w:rPr>
  </w:style>
  <w:style w:type="paragraph" w:customStyle="1" w:styleId="87">
    <w:name w:val="标题 91"/>
    <w:basedOn w:val="1"/>
    <w:next w:val="1"/>
    <w:semiHidden/>
    <w:unhideWhenUsed/>
    <w:qFormat/>
    <w:uiPriority w:val="9"/>
    <w:pPr>
      <w:keepNext/>
      <w:keepLines/>
      <w:spacing w:after="160" w:line="278" w:lineRule="auto"/>
      <w:outlineLvl w:val="8"/>
    </w:pPr>
    <w:rPr>
      <w:rFonts w:ascii="等线" w:hAnsi="等线" w:eastAsia="等线 Light" w:cs="Times New Roman"/>
      <w:color w:val="595959"/>
      <w:szCs w:val="22"/>
    </w:rPr>
  </w:style>
  <w:style w:type="paragraph" w:customStyle="1" w:styleId="88">
    <w:name w:val="副标题1"/>
    <w:basedOn w:val="1"/>
    <w:next w:val="1"/>
    <w:qFormat/>
    <w:uiPriority w:val="11"/>
    <w:pPr>
      <w:spacing w:after="160" w:line="278" w:lineRule="auto"/>
      <w:jc w:val="center"/>
    </w:pPr>
    <w:rPr>
      <w:rFonts w:ascii="等线 Light" w:hAnsi="等线 Light" w:eastAsia="等线 Light" w:cs="Times New Roman"/>
      <w:color w:val="595959"/>
      <w:spacing w:val="15"/>
      <w:sz w:val="28"/>
      <w:szCs w:val="28"/>
    </w:rPr>
  </w:style>
  <w:style w:type="paragraph" w:customStyle="1" w:styleId="89">
    <w:name w:val="标题1"/>
    <w:basedOn w:val="1"/>
    <w:next w:val="1"/>
    <w:qFormat/>
    <w:uiPriority w:val="10"/>
    <w:pPr>
      <w:spacing w:after="80" w:line="278" w:lineRule="auto"/>
      <w:contextualSpacing/>
      <w:jc w:val="center"/>
    </w:pPr>
    <w:rPr>
      <w:rFonts w:ascii="等线 Light" w:hAnsi="等线 Light" w:eastAsia="等线 Light" w:cs="Times New Roman"/>
      <w:spacing w:val="-10"/>
      <w:kern w:val="28"/>
      <w:sz w:val="56"/>
      <w:szCs w:val="56"/>
    </w:rPr>
  </w:style>
  <w:style w:type="character" w:customStyle="1" w:styleId="90">
    <w:name w:val="标题 5 Char"/>
    <w:basedOn w:val="29"/>
    <w:link w:val="6"/>
    <w:semiHidden/>
    <w:qFormat/>
    <w:uiPriority w:val="9"/>
    <w:rPr>
      <w:rFonts w:cs="Times New Roman"/>
      <w:color w:val="0F4761"/>
      <w:sz w:val="24"/>
      <w:szCs w:val="24"/>
    </w:rPr>
  </w:style>
  <w:style w:type="character" w:customStyle="1" w:styleId="91">
    <w:name w:val="标题 6 Char"/>
    <w:basedOn w:val="29"/>
    <w:link w:val="7"/>
    <w:semiHidden/>
    <w:qFormat/>
    <w:uiPriority w:val="9"/>
    <w:rPr>
      <w:rFonts w:cs="Times New Roman"/>
      <w:b/>
      <w:bCs/>
      <w:color w:val="0F4761"/>
    </w:rPr>
  </w:style>
  <w:style w:type="character" w:customStyle="1" w:styleId="92">
    <w:name w:val="标题 7 Char"/>
    <w:basedOn w:val="29"/>
    <w:link w:val="8"/>
    <w:semiHidden/>
    <w:qFormat/>
    <w:uiPriority w:val="9"/>
    <w:rPr>
      <w:rFonts w:cs="Times New Roman"/>
      <w:b/>
      <w:bCs/>
      <w:color w:val="595959"/>
    </w:rPr>
  </w:style>
  <w:style w:type="character" w:customStyle="1" w:styleId="93">
    <w:name w:val="标题 8 Char"/>
    <w:basedOn w:val="29"/>
    <w:link w:val="9"/>
    <w:semiHidden/>
    <w:qFormat/>
    <w:uiPriority w:val="9"/>
    <w:rPr>
      <w:rFonts w:cs="Times New Roman"/>
      <w:color w:val="595959"/>
    </w:rPr>
  </w:style>
  <w:style w:type="character" w:customStyle="1" w:styleId="94">
    <w:name w:val="标题 9 Char"/>
    <w:basedOn w:val="29"/>
    <w:link w:val="10"/>
    <w:semiHidden/>
    <w:qFormat/>
    <w:uiPriority w:val="9"/>
    <w:rPr>
      <w:rFonts w:eastAsia="等线 Light" w:cs="Times New Roman"/>
      <w:color w:val="595959"/>
    </w:rPr>
  </w:style>
  <w:style w:type="character" w:customStyle="1" w:styleId="95">
    <w:name w:val="标题 Char"/>
    <w:basedOn w:val="29"/>
    <w:link w:val="25"/>
    <w:qFormat/>
    <w:uiPriority w:val="10"/>
    <w:rPr>
      <w:rFonts w:ascii="等线 Light" w:hAnsi="等线 Light" w:eastAsia="等线 Light" w:cs="Times New Roman"/>
      <w:spacing w:val="-10"/>
      <w:kern w:val="28"/>
      <w:sz w:val="56"/>
      <w:szCs w:val="56"/>
    </w:rPr>
  </w:style>
  <w:style w:type="character" w:customStyle="1" w:styleId="96">
    <w:name w:val="副标题 Char"/>
    <w:basedOn w:val="29"/>
    <w:link w:val="21"/>
    <w:qFormat/>
    <w:uiPriority w:val="11"/>
    <w:rPr>
      <w:rFonts w:ascii="等线 Light" w:hAnsi="等线 Light" w:eastAsia="等线 Light" w:cs="Times New Roman"/>
      <w:color w:val="595959"/>
      <w:spacing w:val="15"/>
      <w:sz w:val="28"/>
      <w:szCs w:val="28"/>
    </w:rPr>
  </w:style>
  <w:style w:type="paragraph" w:customStyle="1" w:styleId="97">
    <w:name w:val="引用1"/>
    <w:basedOn w:val="1"/>
    <w:next w:val="1"/>
    <w:qFormat/>
    <w:uiPriority w:val="29"/>
    <w:pPr>
      <w:spacing w:before="160" w:after="160" w:line="278" w:lineRule="auto"/>
      <w:jc w:val="center"/>
    </w:pPr>
    <w:rPr>
      <w:rFonts w:ascii="等线" w:hAnsi="等线" w:eastAsia="等线" w:cs="Times New Roman"/>
      <w:i/>
      <w:iCs/>
      <w:color w:val="404040"/>
      <w:szCs w:val="22"/>
    </w:rPr>
  </w:style>
  <w:style w:type="character" w:customStyle="1" w:styleId="98">
    <w:name w:val="引用 Char"/>
    <w:basedOn w:val="29"/>
    <w:link w:val="99"/>
    <w:qFormat/>
    <w:uiPriority w:val="29"/>
    <w:rPr>
      <w:i/>
      <w:iCs/>
      <w:color w:val="404040"/>
    </w:rPr>
  </w:style>
  <w:style w:type="paragraph" w:styleId="99">
    <w:name w:val="Quote"/>
    <w:basedOn w:val="1"/>
    <w:next w:val="1"/>
    <w:link w:val="98"/>
    <w:semiHidden/>
    <w:qFormat/>
    <w:uiPriority w:val="29"/>
    <w:pPr>
      <w:spacing w:before="200" w:after="160"/>
      <w:ind w:left="864" w:right="864"/>
      <w:jc w:val="center"/>
    </w:pPr>
    <w:rPr>
      <w:rFonts w:ascii="Times New Roman" w:hAnsi="Times New Roman" w:cs="Times New Roman"/>
      <w:i/>
      <w:iCs/>
      <w:color w:val="404040"/>
      <w:kern w:val="0"/>
      <w:sz w:val="20"/>
      <w:szCs w:val="20"/>
    </w:rPr>
  </w:style>
  <w:style w:type="character" w:customStyle="1" w:styleId="100">
    <w:name w:val="明显强调1"/>
    <w:basedOn w:val="29"/>
    <w:qFormat/>
    <w:uiPriority w:val="21"/>
    <w:rPr>
      <w:i/>
      <w:iCs/>
      <w:color w:val="0F4761"/>
    </w:rPr>
  </w:style>
  <w:style w:type="paragraph" w:customStyle="1" w:styleId="101">
    <w:name w:val="明显引用1"/>
    <w:basedOn w:val="1"/>
    <w:next w:val="1"/>
    <w:qFormat/>
    <w:uiPriority w:val="30"/>
    <w:pPr>
      <w:pBdr>
        <w:top w:val="single" w:color="0F4761" w:sz="4" w:space="10"/>
        <w:bottom w:val="single" w:color="0F4761" w:sz="4" w:space="10"/>
      </w:pBdr>
      <w:spacing w:before="360" w:after="360" w:line="278" w:lineRule="auto"/>
      <w:ind w:left="864" w:right="864"/>
      <w:jc w:val="center"/>
    </w:pPr>
    <w:rPr>
      <w:rFonts w:ascii="等线" w:hAnsi="等线" w:eastAsia="等线" w:cs="Times New Roman"/>
      <w:i/>
      <w:iCs/>
      <w:color w:val="0F4761"/>
      <w:szCs w:val="22"/>
    </w:rPr>
  </w:style>
  <w:style w:type="character" w:customStyle="1" w:styleId="102">
    <w:name w:val="明显引用 Char"/>
    <w:basedOn w:val="29"/>
    <w:link w:val="103"/>
    <w:qFormat/>
    <w:uiPriority w:val="30"/>
    <w:rPr>
      <w:i/>
      <w:iCs/>
      <w:color w:val="0F4761"/>
    </w:rPr>
  </w:style>
  <w:style w:type="paragraph" w:styleId="103">
    <w:name w:val="Intense Quote"/>
    <w:basedOn w:val="1"/>
    <w:next w:val="1"/>
    <w:link w:val="102"/>
    <w:semiHidden/>
    <w:qFormat/>
    <w:uiPriority w:val="30"/>
    <w:pPr>
      <w:pBdr>
        <w:top w:val="single" w:color="4F81BD" w:themeColor="accent1" w:sz="4" w:space="10"/>
        <w:bottom w:val="single" w:color="4F81BD" w:themeColor="accent1" w:sz="4" w:space="10"/>
      </w:pBdr>
      <w:spacing w:before="360" w:after="360"/>
      <w:ind w:left="864" w:right="864"/>
      <w:jc w:val="center"/>
    </w:pPr>
    <w:rPr>
      <w:rFonts w:ascii="Times New Roman" w:hAnsi="Times New Roman" w:cs="Times New Roman"/>
      <w:i/>
      <w:iCs/>
      <w:color w:val="0F4761"/>
      <w:kern w:val="0"/>
      <w:sz w:val="20"/>
      <w:szCs w:val="20"/>
    </w:rPr>
  </w:style>
  <w:style w:type="character" w:customStyle="1" w:styleId="104">
    <w:name w:val="明显参考1"/>
    <w:basedOn w:val="29"/>
    <w:qFormat/>
    <w:uiPriority w:val="32"/>
    <w:rPr>
      <w:b/>
      <w:bCs/>
      <w:smallCaps/>
      <w:color w:val="0F4761"/>
      <w:spacing w:val="5"/>
    </w:rPr>
  </w:style>
  <w:style w:type="paragraph" w:customStyle="1" w:styleId="105">
    <w:name w:val="条文说明"/>
    <w:basedOn w:val="1"/>
    <w:link w:val="106"/>
    <w:qFormat/>
    <w:uiPriority w:val="0"/>
    <w:pPr>
      <w:spacing w:after="160" w:line="278" w:lineRule="auto"/>
      <w:ind w:firstLine="420"/>
    </w:pPr>
    <w:rPr>
      <w:rFonts w:ascii="楷体" w:hAnsi="楷体" w:eastAsia="楷体" w:cs="Times New Roman"/>
      <w:szCs w:val="22"/>
    </w:rPr>
  </w:style>
  <w:style w:type="character" w:customStyle="1" w:styleId="106">
    <w:name w:val="条文说明 字符"/>
    <w:basedOn w:val="29"/>
    <w:link w:val="105"/>
    <w:qFormat/>
    <w:uiPriority w:val="0"/>
    <w:rPr>
      <w:rFonts w:ascii="楷体" w:hAnsi="楷体" w:eastAsia="楷体"/>
      <w:kern w:val="2"/>
      <w:sz w:val="21"/>
      <w:szCs w:val="22"/>
    </w:rPr>
  </w:style>
  <w:style w:type="paragraph" w:customStyle="1" w:styleId="107">
    <w:name w:val="修订5"/>
    <w:hidden/>
    <w:unhideWhenUsed/>
    <w:qFormat/>
    <w:uiPriority w:val="99"/>
    <w:rPr>
      <w:rFonts w:ascii="等线" w:hAnsi="等线" w:eastAsia="等线" w:cs="Times New Roman"/>
      <w:kern w:val="2"/>
      <w:sz w:val="21"/>
      <w:szCs w:val="22"/>
      <w:lang w:val="en-US" w:eastAsia="zh-CN" w:bidi="ar-SA"/>
    </w:rPr>
  </w:style>
  <w:style w:type="paragraph" w:customStyle="1" w:styleId="108">
    <w:name w:val="修订6"/>
    <w:hidden/>
    <w:unhideWhenUsed/>
    <w:qFormat/>
    <w:uiPriority w:val="99"/>
    <w:rPr>
      <w:rFonts w:ascii="等线" w:hAnsi="等线" w:eastAsia="等线" w:cs="Times New Roman"/>
      <w:kern w:val="2"/>
      <w:sz w:val="21"/>
      <w:szCs w:val="22"/>
      <w:lang w:val="en-US" w:eastAsia="zh-CN" w:bidi="ar-SA"/>
    </w:rPr>
  </w:style>
  <w:style w:type="character" w:customStyle="1" w:styleId="109">
    <w:name w:val="未处理的提及1"/>
    <w:basedOn w:val="29"/>
    <w:semiHidden/>
    <w:unhideWhenUsed/>
    <w:qFormat/>
    <w:uiPriority w:val="99"/>
    <w:rPr>
      <w:color w:val="605E5C"/>
      <w:shd w:val="clear" w:color="auto" w:fill="E1DFDD"/>
    </w:rPr>
  </w:style>
  <w:style w:type="paragraph" w:customStyle="1" w:styleId="110">
    <w:name w:val="修订7"/>
    <w:hidden/>
    <w:semiHidden/>
    <w:qFormat/>
    <w:uiPriority w:val="99"/>
    <w:rPr>
      <w:rFonts w:ascii="等线" w:hAnsi="等线" w:eastAsia="等线" w:cs="Times New Roman"/>
      <w:kern w:val="2"/>
      <w:sz w:val="21"/>
      <w:szCs w:val="22"/>
      <w:lang w:val="en-US" w:eastAsia="zh-CN" w:bidi="ar-SA"/>
    </w:rPr>
  </w:style>
  <w:style w:type="paragraph" w:customStyle="1" w:styleId="111">
    <w:name w:val="ds-markdown-paragraph"/>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2">
    <w:name w:val="修订8"/>
    <w:next w:val="113"/>
    <w:hidden/>
    <w:semiHidden/>
    <w:qFormat/>
    <w:uiPriority w:val="99"/>
    <w:rPr>
      <w:rFonts w:ascii="等线" w:hAnsi="等线" w:eastAsia="等线" w:cs="Times New Roman"/>
      <w:kern w:val="2"/>
      <w:sz w:val="21"/>
      <w:szCs w:val="22"/>
      <w:lang w:val="en-US" w:eastAsia="zh-CN" w:bidi="ar-SA"/>
    </w:rPr>
  </w:style>
  <w:style w:type="paragraph" w:customStyle="1" w:styleId="113">
    <w:name w:val="修订9"/>
    <w:hidden/>
    <w:semiHidden/>
    <w:qFormat/>
    <w:uiPriority w:val="99"/>
    <w:rPr>
      <w:rFonts w:ascii="Calibri" w:hAnsi="Calibri" w:eastAsia="宋体" w:cs="Calibri"/>
      <w:kern w:val="2"/>
      <w:sz w:val="21"/>
      <w:szCs w:val="21"/>
      <w:lang w:val="en-US" w:eastAsia="zh-CN" w:bidi="ar-SA"/>
    </w:rPr>
  </w:style>
  <w:style w:type="character" w:customStyle="1" w:styleId="114">
    <w:name w:val="标题 5 字符1"/>
    <w:basedOn w:val="29"/>
    <w:semiHidden/>
    <w:qFormat/>
    <w:uiPriority w:val="9"/>
    <w:rPr>
      <w:rFonts w:ascii="Calibri" w:hAnsi="Calibri" w:cs="Calibri"/>
      <w:b/>
      <w:bCs/>
      <w:kern w:val="2"/>
      <w:sz w:val="28"/>
      <w:szCs w:val="28"/>
    </w:rPr>
  </w:style>
  <w:style w:type="character" w:customStyle="1" w:styleId="115">
    <w:name w:val="标题 6 字符1"/>
    <w:basedOn w:val="29"/>
    <w:semiHidden/>
    <w:qFormat/>
    <w:uiPriority w:val="9"/>
    <w:rPr>
      <w:rFonts w:asciiTheme="majorHAnsi" w:hAnsiTheme="majorHAnsi" w:eastAsiaTheme="majorEastAsia" w:cstheme="majorBidi"/>
      <w:b/>
      <w:bCs/>
      <w:kern w:val="2"/>
      <w:sz w:val="24"/>
      <w:szCs w:val="24"/>
    </w:rPr>
  </w:style>
  <w:style w:type="character" w:customStyle="1" w:styleId="116">
    <w:name w:val="标题 7 字符1"/>
    <w:basedOn w:val="29"/>
    <w:semiHidden/>
    <w:qFormat/>
    <w:uiPriority w:val="9"/>
    <w:rPr>
      <w:rFonts w:ascii="Calibri" w:hAnsi="Calibri" w:cs="Calibri"/>
      <w:b/>
      <w:bCs/>
      <w:kern w:val="2"/>
      <w:sz w:val="24"/>
      <w:szCs w:val="24"/>
    </w:rPr>
  </w:style>
  <w:style w:type="character" w:customStyle="1" w:styleId="117">
    <w:name w:val="标题 8 字符1"/>
    <w:basedOn w:val="29"/>
    <w:semiHidden/>
    <w:qFormat/>
    <w:uiPriority w:val="9"/>
    <w:rPr>
      <w:rFonts w:asciiTheme="majorHAnsi" w:hAnsiTheme="majorHAnsi" w:eastAsiaTheme="majorEastAsia" w:cstheme="majorBidi"/>
      <w:kern w:val="2"/>
      <w:sz w:val="24"/>
      <w:szCs w:val="24"/>
    </w:rPr>
  </w:style>
  <w:style w:type="character" w:customStyle="1" w:styleId="118">
    <w:name w:val="标题 9 字符1"/>
    <w:basedOn w:val="29"/>
    <w:semiHidden/>
    <w:qFormat/>
    <w:uiPriority w:val="9"/>
    <w:rPr>
      <w:rFonts w:asciiTheme="majorHAnsi" w:hAnsiTheme="majorHAnsi" w:eastAsiaTheme="majorEastAsia" w:cstheme="majorBidi"/>
      <w:kern w:val="2"/>
      <w:sz w:val="21"/>
      <w:szCs w:val="21"/>
    </w:rPr>
  </w:style>
  <w:style w:type="character" w:customStyle="1" w:styleId="119">
    <w:name w:val="标题 字符1"/>
    <w:basedOn w:val="29"/>
    <w:qFormat/>
    <w:uiPriority w:val="10"/>
    <w:rPr>
      <w:rFonts w:asciiTheme="majorHAnsi" w:hAnsiTheme="majorHAnsi" w:eastAsiaTheme="majorEastAsia" w:cstheme="majorBidi"/>
      <w:b/>
      <w:bCs/>
      <w:kern w:val="2"/>
      <w:sz w:val="32"/>
      <w:szCs w:val="32"/>
    </w:rPr>
  </w:style>
  <w:style w:type="character" w:customStyle="1" w:styleId="120">
    <w:name w:val="副标题 字符1"/>
    <w:basedOn w:val="29"/>
    <w:qFormat/>
    <w:uiPriority w:val="11"/>
    <w:rPr>
      <w:rFonts w:asciiTheme="minorHAnsi" w:hAnsiTheme="minorHAnsi" w:eastAsiaTheme="minorEastAsia" w:cstheme="minorBidi"/>
      <w:b/>
      <w:bCs/>
      <w:kern w:val="28"/>
      <w:sz w:val="32"/>
      <w:szCs w:val="32"/>
    </w:rPr>
  </w:style>
  <w:style w:type="character" w:customStyle="1" w:styleId="121">
    <w:name w:val="引用 字符1"/>
    <w:basedOn w:val="29"/>
    <w:semiHidden/>
    <w:qFormat/>
    <w:uiPriority w:val="99"/>
    <w:rPr>
      <w:rFonts w:ascii="Calibri" w:hAnsi="Calibri" w:cs="Calibri"/>
      <w:i/>
      <w:iCs/>
      <w:color w:val="404040" w:themeColor="text1" w:themeTint="BF"/>
      <w:kern w:val="2"/>
      <w:sz w:val="21"/>
      <w:szCs w:val="21"/>
      <w14:textFill>
        <w14:solidFill>
          <w14:schemeClr w14:val="tx1">
            <w14:lumMod w14:val="75000"/>
            <w14:lumOff w14:val="25000"/>
          </w14:schemeClr>
        </w14:solidFill>
      </w14:textFill>
    </w:rPr>
  </w:style>
  <w:style w:type="character" w:customStyle="1" w:styleId="122">
    <w:name w:val="明显引用 字符1"/>
    <w:basedOn w:val="29"/>
    <w:semiHidden/>
    <w:qFormat/>
    <w:uiPriority w:val="99"/>
    <w:rPr>
      <w:rFonts w:ascii="Calibri" w:hAnsi="Calibri" w:cs="Calibri"/>
      <w:i/>
      <w:iCs/>
      <w:color w:val="4F81BD" w:themeColor="accent1"/>
      <w:kern w:val="2"/>
      <w:sz w:val="21"/>
      <w:szCs w:val="21"/>
      <w14:textFill>
        <w14:solidFill>
          <w14:schemeClr w14:val="accent1"/>
        </w14:solidFill>
      </w14:textFill>
    </w:rPr>
  </w:style>
  <w:style w:type="character" w:customStyle="1" w:styleId="123">
    <w:name w:val="citation-112"/>
    <w:basedOn w:val="29"/>
    <w:qFormat/>
    <w:uiPriority w:val="0"/>
  </w:style>
  <w:style w:type="paragraph" w:customStyle="1" w:styleId="124">
    <w:name w:val="修订10"/>
    <w:hidden/>
    <w:semiHidden/>
    <w:qFormat/>
    <w:uiPriority w:val="99"/>
    <w:rPr>
      <w:rFonts w:ascii="Calibri" w:hAnsi="Calibri" w:eastAsia="宋体" w:cs="Calibri"/>
      <w:kern w:val="2"/>
      <w:sz w:val="21"/>
      <w:szCs w:val="21"/>
      <w:lang w:val="en-US" w:eastAsia="zh-CN" w:bidi="ar-SA"/>
    </w:rPr>
  </w:style>
  <w:style w:type="paragraph" w:customStyle="1" w:styleId="125">
    <w:name w:val="isselectedend"/>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customXml" Target="../customXml/item1.xml"/><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043C53-F7FD-4106-9F4C-AF43C5332AA4}">
  <ds:schemaRefs/>
</ds:datastoreItem>
</file>

<file path=docProps/app.xml><?xml version="1.0" encoding="utf-8"?>
<Properties xmlns="http://schemas.openxmlformats.org/officeDocument/2006/extended-properties" xmlns:vt="http://schemas.openxmlformats.org/officeDocument/2006/docPropsVTypes">
  <Template>Normal.dotm</Template>
  <Pages>25</Pages>
  <Words>3578</Words>
  <Characters>4176</Characters>
  <Lines>92</Lines>
  <Paragraphs>26</Paragraphs>
  <TotalTime>0</TotalTime>
  <ScaleCrop>false</ScaleCrop>
  <LinksUpToDate>false</LinksUpToDate>
  <CharactersWithSpaces>4552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2026-10-14T07:41:00Z</dcterms:created>
  <dc:creator>luqin</dc:creator>
  <cp:lastModifiedBy>陈文昕</cp:lastModifiedBy>
  <cp:lastPrinted>2026-03-12T11:14:00Z</cp:lastPrinted>
  <dcterms:modified xsi:type="dcterms:W3CDTF">2026-10-16T00:57:27Z</dcterms:modified>
  <dc:title>目录</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OfficeAIDocId">
    <vt:lpwstr>DOC_eacd40e4296c42eabd143f8ff5fb51e1</vt:lpwstr>
  </property>
  <property fmtid="{D5CDD505-2E9C-101B-9397-08002B2CF9AE}" pid="4" name="KSOTemplateDocerSaveRecord">
    <vt:lpwstr>eyJoZGlkIjoiN2FlZGZlODdlZTZiODE1YjgxZmQ3YWZhYWVjY2M4ZDgiLCJ1c2VySWQiOiIzMjY1MjczMzIifQ==</vt:lpwstr>
  </property>
  <property fmtid="{D5CDD505-2E9C-101B-9397-08002B2CF9AE}" pid="5" name="ICV">
    <vt:lpwstr>0DC4F5D34C0F4D9F8B40BD3E97AD41FD_13</vt:lpwstr>
  </property>
</Properties>
</file>